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1E" w:rsidRDefault="00CC1CE8">
      <w:pPr>
        <w:pStyle w:val="Corpodetexto"/>
        <w:ind w:left="0" w:firstLine="0"/>
        <w:jc w:val="left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1505585</wp:posOffset>
                </wp:positionV>
                <wp:extent cx="6321425" cy="635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14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A86FB" id="Rectangle 3" o:spid="_x0000_s1026" style="position:absolute;margin-left:83.75pt;margin-top:118.55pt;width:497.7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Yg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" fillcolor="black" stroked="f">
                <w10:wrap anchorx="page" anchory="page"/>
              </v:rect>
            </w:pict>
          </mc:Fallback>
        </mc:AlternateContent>
      </w:r>
    </w:p>
    <w:p w:rsidR="008A601E" w:rsidRDefault="00481FB0">
      <w:pPr>
        <w:pStyle w:val="Corpodetexto"/>
        <w:spacing w:before="8"/>
        <w:ind w:lef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ORIENTA</w:t>
      </w:r>
      <w:r>
        <w:rPr>
          <w:rFonts w:ascii="Arial"/>
          <w:b/>
          <w:sz w:val="24"/>
        </w:rPr>
        <w:t>ÇÕ</w:t>
      </w:r>
      <w:r>
        <w:rPr>
          <w:rFonts w:ascii="Arial"/>
          <w:b/>
          <w:sz w:val="24"/>
        </w:rPr>
        <w:t>ES PARA TRANSFER</w:t>
      </w:r>
      <w:r>
        <w:rPr>
          <w:rFonts w:ascii="Arial"/>
          <w:b/>
          <w:sz w:val="24"/>
        </w:rPr>
        <w:t>Ê</w:t>
      </w:r>
      <w:r w:rsidR="001C56A7">
        <w:rPr>
          <w:rFonts w:ascii="Arial"/>
          <w:b/>
          <w:sz w:val="24"/>
        </w:rPr>
        <w:t xml:space="preserve">NCIA DE TITULARIDADE DO </w:t>
      </w:r>
      <w:r>
        <w:rPr>
          <w:rFonts w:ascii="Arial"/>
          <w:b/>
          <w:sz w:val="24"/>
        </w:rPr>
        <w:t xml:space="preserve">REGISTRO DE ESTABELECIMENTOS </w:t>
      </w:r>
      <w:r w:rsidR="001C56A7">
        <w:rPr>
          <w:rFonts w:ascii="Arial"/>
          <w:b/>
          <w:sz w:val="24"/>
        </w:rPr>
        <w:t>DE POA JUNTO AO SIP/POA DA ADAPAR</w:t>
      </w:r>
    </w:p>
    <w:p w:rsidR="001C56A7" w:rsidRDefault="001C56A7">
      <w:pPr>
        <w:pStyle w:val="Corpodetexto"/>
        <w:spacing w:before="8"/>
        <w:ind w:left="0" w:firstLine="0"/>
        <w:jc w:val="left"/>
        <w:rPr>
          <w:rFonts w:ascii="Arial"/>
          <w:b/>
          <w:sz w:val="24"/>
        </w:rPr>
      </w:pPr>
    </w:p>
    <w:p w:rsidR="008A601E" w:rsidRPr="00481FB0" w:rsidRDefault="001C56A7" w:rsidP="00481FB0">
      <w:pPr>
        <w:pStyle w:val="Corpodetexto"/>
        <w:ind w:left="139" w:right="119" w:firstLine="0"/>
      </w:pPr>
      <w:r w:rsidRPr="00481FB0">
        <w:t>Sobre o processo de transferência de titularidade do estabelecimento registrado junto</w:t>
      </w:r>
      <w:r w:rsidRPr="00481FB0">
        <w:rPr>
          <w:spacing w:val="1"/>
        </w:rPr>
        <w:t xml:space="preserve"> </w:t>
      </w:r>
      <w:r w:rsidRPr="00481FB0">
        <w:t>ao Serviço de Inspeção Estadual, os responsáveis legais deverão estar cientes do que</w:t>
      </w:r>
      <w:r w:rsidRPr="00481FB0">
        <w:rPr>
          <w:spacing w:val="1"/>
        </w:rPr>
        <w:t xml:space="preserve"> </w:t>
      </w:r>
      <w:r w:rsidRPr="00481FB0">
        <w:t>segue:</w:t>
      </w:r>
    </w:p>
    <w:p w:rsidR="008A601E" w:rsidRDefault="008A601E">
      <w:pPr>
        <w:pStyle w:val="Corpodetexto"/>
        <w:ind w:left="0" w:firstLine="0"/>
        <w:jc w:val="left"/>
      </w:pPr>
    </w:p>
    <w:p w:rsidR="00481FB0" w:rsidRPr="00481FB0" w:rsidRDefault="00481FB0" w:rsidP="00481FB0">
      <w:pPr>
        <w:pStyle w:val="Captulo"/>
        <w:keepNext w:val="0"/>
        <w:widowControl w:val="0"/>
        <w:numPr>
          <w:ilvl w:val="0"/>
          <w:numId w:val="1"/>
        </w:numPr>
        <w:suppressAutoHyphens w:val="0"/>
        <w:spacing w:before="0" w:after="0"/>
        <w:jc w:val="both"/>
        <w:rPr>
          <w:b w:val="0"/>
        </w:rPr>
      </w:pPr>
      <w:r w:rsidRPr="00481FB0">
        <w:rPr>
          <w:rStyle w:val="apple-style-span"/>
          <w:rFonts w:cs="Arial"/>
          <w:b w:val="0"/>
          <w:sz w:val="22"/>
          <w:szCs w:val="22"/>
          <w:shd w:val="clear" w:color="auto" w:fill="FFFFFF"/>
        </w:rPr>
        <w:t>A transferência de titularidade aplicar-se-á nos casos em que ocorre a alteração de pessoa jurídica (CNPJ)</w:t>
      </w:r>
      <w:r w:rsidR="001C56A7">
        <w:rPr>
          <w:rStyle w:val="apple-style-span"/>
          <w:rFonts w:cs="Arial"/>
          <w:b w:val="0"/>
          <w:sz w:val="22"/>
          <w:szCs w:val="22"/>
          <w:shd w:val="clear" w:color="auto" w:fill="FFFFFF"/>
        </w:rPr>
        <w:t>,</w:t>
      </w:r>
      <w:r w:rsidRPr="00481FB0">
        <w:rPr>
          <w:rStyle w:val="apple-style-span"/>
          <w:rFonts w:cs="Arial"/>
          <w:b w:val="0"/>
          <w:sz w:val="22"/>
          <w:szCs w:val="22"/>
          <w:shd w:val="clear" w:color="auto" w:fill="FFFFFF"/>
        </w:rPr>
        <w:t xml:space="preserve"> ou pessoa física (CPF)</w:t>
      </w:r>
      <w:r w:rsidR="001C56A7">
        <w:rPr>
          <w:rStyle w:val="apple-style-span"/>
          <w:rFonts w:cs="Arial"/>
          <w:b w:val="0"/>
          <w:sz w:val="22"/>
          <w:szCs w:val="22"/>
          <w:shd w:val="clear" w:color="auto" w:fill="FFFFFF"/>
        </w:rPr>
        <w:t>,</w:t>
      </w:r>
      <w:r w:rsidRPr="00481FB0">
        <w:rPr>
          <w:rStyle w:val="apple-style-span"/>
          <w:rFonts w:cs="Arial"/>
          <w:b w:val="0"/>
          <w:sz w:val="22"/>
          <w:szCs w:val="22"/>
          <w:shd w:val="clear" w:color="auto" w:fill="FFFFFF"/>
        </w:rPr>
        <w:t xml:space="preserve"> titular do registro do estabelecimento perante o SIP/POA.</w:t>
      </w:r>
    </w:p>
    <w:p w:rsidR="00481FB0" w:rsidRDefault="00481FB0" w:rsidP="00481FB0">
      <w:pPr>
        <w:pStyle w:val="Corpodetexto"/>
        <w:numPr>
          <w:ilvl w:val="1"/>
          <w:numId w:val="1"/>
        </w:numPr>
      </w:pPr>
      <w:r w:rsidRPr="00481FB0">
        <w:rPr>
          <w:rFonts w:cs="Arial"/>
          <w:bCs/>
        </w:rPr>
        <w:t>Nota:</w:t>
      </w:r>
      <w:r w:rsidRPr="00481FB0">
        <w:rPr>
          <w:rFonts w:cs="Arial"/>
          <w:i/>
          <w:iCs/>
        </w:rPr>
        <w:t xml:space="preserve"> Considerando</w:t>
      </w:r>
      <w:r>
        <w:rPr>
          <w:rFonts w:cs="Arial"/>
          <w:i/>
          <w:iCs/>
        </w:rPr>
        <w:t xml:space="preserve"> que o que individualiza uma </w:t>
      </w:r>
      <w:r>
        <w:rPr>
          <w:rFonts w:cs="Arial"/>
          <w:i/>
          <w:iCs/>
          <w:u w:val="single"/>
        </w:rPr>
        <w:t>pessoa jurídica</w:t>
      </w:r>
      <w:r>
        <w:rPr>
          <w:rFonts w:cs="Arial"/>
          <w:i/>
          <w:iCs/>
        </w:rPr>
        <w:t xml:space="preserve"> é a sua inscrição junto o Cadastro Nacional de Pessoas Jurídicas – CNPJ, a alteração da razão social ou quadro societário no contrato social não implica na criação de nova pessoa jurídica, uma vez que permanece o mesmo CNPJ. Portanto, neste caso apenas cabe ao titular apresentar atualização do cadastro junto à Adapar.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</w:pPr>
      <w:r>
        <w:t>Da</w:t>
      </w:r>
      <w:r>
        <w:rPr>
          <w:spacing w:val="1"/>
        </w:rPr>
        <w:t xml:space="preserve"> </w:t>
      </w:r>
      <w:r>
        <w:t>obrigatoriedade 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imediata acerca da venda ou locação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estabelecimento</w:t>
      </w:r>
      <w:r>
        <w:rPr>
          <w:spacing w:val="-3"/>
        </w:rPr>
        <w:t xml:space="preserve"> </w:t>
      </w:r>
      <w:r>
        <w:t>registrado</w:t>
      </w:r>
      <w:r>
        <w:rPr>
          <w:spacing w:val="-2"/>
        </w:rPr>
        <w:t xml:space="preserve"> </w:t>
      </w:r>
      <w:r>
        <w:t>ao</w:t>
      </w:r>
      <w:r>
        <w:rPr>
          <w:spacing w:val="3"/>
        </w:rPr>
        <w:t xml:space="preserve"> </w:t>
      </w:r>
      <w:r>
        <w:t>serviço</w:t>
      </w:r>
      <w:r>
        <w:rPr>
          <w:spacing w:val="-2"/>
        </w:rPr>
        <w:t xml:space="preserve"> </w:t>
      </w:r>
      <w:r>
        <w:t>oficial;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</w:pPr>
      <w:r>
        <w:t>Do</w:t>
      </w:r>
      <w:r>
        <w:rPr>
          <w:spacing w:val="1"/>
        </w:rPr>
        <w:t xml:space="preserve"> </w:t>
      </w:r>
      <w:r>
        <w:t>preenchimento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específico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Titularidade,</w:t>
      </w:r>
      <w:r>
        <w:rPr>
          <w:spacing w:val="-4"/>
        </w:rPr>
        <w:t xml:space="preserve"> </w:t>
      </w:r>
      <w:r>
        <w:t>assinado</w:t>
      </w:r>
      <w:r>
        <w:rPr>
          <w:spacing w:val="3"/>
        </w:rPr>
        <w:t xml:space="preserve"> </w:t>
      </w:r>
      <w:r>
        <w:t>pelos</w:t>
      </w:r>
      <w:r>
        <w:rPr>
          <w:spacing w:val="-4"/>
        </w:rPr>
        <w:t xml:space="preserve"> </w:t>
      </w:r>
      <w:r>
        <w:t>responsáveis</w:t>
      </w:r>
      <w:r>
        <w:rPr>
          <w:spacing w:val="1"/>
        </w:rPr>
        <w:t xml:space="preserve"> </w:t>
      </w:r>
      <w:r>
        <w:t>legais</w:t>
      </w:r>
      <w:r>
        <w:rPr>
          <w:spacing w:val="-4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atual;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37" w:lineRule="auto"/>
        <w:ind w:right="115"/>
      </w:pPr>
      <w:r>
        <w:t>Nos casos de recusa do comprador ou locatário de promover a transferência de</w:t>
      </w:r>
      <w:r>
        <w:rPr>
          <w:spacing w:val="1"/>
        </w:rPr>
        <w:t xml:space="preserve"> </w:t>
      </w:r>
      <w:r>
        <w:t>titularidade do registro, o titular deverá comunicar imediatamente o serviço oficial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inspeção</w:t>
      </w:r>
      <w:r>
        <w:rPr>
          <w:spacing w:val="3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3005/200);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before="2"/>
        <w:ind w:right="119"/>
      </w:pPr>
      <w:r>
        <w:t>Enquanto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concluída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titular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responderá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encontradas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3005/200);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ind w:right="122"/>
      </w:pPr>
      <w:r>
        <w:t>Caso o titular tenha notificado a venda ou locação e o novo responsável legal não</w:t>
      </w:r>
      <w:r>
        <w:rPr>
          <w:spacing w:val="1"/>
        </w:rPr>
        <w:t xml:space="preserve"> </w:t>
      </w:r>
      <w:r>
        <w:t>apresentar documentação necessária ao processo de transferência de titularidade</w:t>
      </w:r>
      <w:r>
        <w:rPr>
          <w:spacing w:val="1"/>
        </w:rPr>
        <w:t xml:space="preserve"> </w:t>
      </w:r>
      <w:r>
        <w:t>no prazo máximo de 30 (trinta) dias, o registro será CANCELADO (art. 19 do</w:t>
      </w:r>
      <w:r>
        <w:rPr>
          <w:spacing w:val="1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ESTADUAL</w:t>
      </w:r>
      <w:r>
        <w:rPr>
          <w:spacing w:val="-2"/>
        </w:rPr>
        <w:t xml:space="preserve"> </w:t>
      </w:r>
      <w:r>
        <w:t>3005/200);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ind w:right="118"/>
      </w:pPr>
      <w:r>
        <w:t>Não serão aceitas alterações no projeto aprovado, de qualquer natureza e em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sem a</w:t>
      </w:r>
      <w:r>
        <w:rPr>
          <w:spacing w:val="-3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Serviço</w:t>
      </w:r>
      <w:r>
        <w:rPr>
          <w:spacing w:val="3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Inspeção.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37" w:lineRule="auto"/>
      </w:pPr>
      <w:r>
        <w:t>Da obrigatoriedade de envio mensal de relatório de produção e comercialização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novo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nosográficos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matadouros.</w:t>
      </w:r>
    </w:p>
    <w:p w:rsidR="00CF1BD6" w:rsidRDefault="001C56A7" w:rsidP="00CF1BD6">
      <w:pPr>
        <w:pStyle w:val="PargrafodaLista"/>
        <w:numPr>
          <w:ilvl w:val="0"/>
          <w:numId w:val="1"/>
        </w:numPr>
        <w:tabs>
          <w:tab w:val="left" w:pos="860"/>
        </w:tabs>
        <w:spacing w:before="4" w:line="237" w:lineRule="auto"/>
        <w:ind w:right="117"/>
      </w:pPr>
      <w:r>
        <w:t xml:space="preserve">Da obrigatoriedade do pagamento de TAXA de </w:t>
      </w:r>
      <w:r w:rsidR="00CF1BD6">
        <w:t>TRANSFERÊNCIA DE TITULARIDADE</w:t>
      </w:r>
      <w:r>
        <w:t>,</w:t>
      </w:r>
      <w:r>
        <w:rPr>
          <w:spacing w:val="1"/>
        </w:rPr>
        <w:t xml:space="preserve"> </w:t>
      </w:r>
      <w:r>
        <w:t xml:space="preserve">sendo que a emissão do boleto </w:t>
      </w:r>
      <w:r w:rsidR="00CF1BD6">
        <w:t>deve ser emitida pelo esabelecimento ingresssante, diretamente no site da Adapar (</w:t>
      </w:r>
      <w:hyperlink r:id="rId7" w:history="1">
        <w:r w:rsidR="00CF1BD6" w:rsidRPr="00F85806">
          <w:rPr>
            <w:rStyle w:val="Hyperlink"/>
          </w:rPr>
          <w:t>https://www.reida.adapar.pr.gov.br/daeda/boletoPublico.do?action=carregarInterfaceConsultar</w:t>
        </w:r>
      </w:hyperlink>
      <w:r w:rsidR="00CF1BD6">
        <w:t>).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before="3"/>
        <w:ind w:right="118"/>
      </w:pPr>
      <w:r>
        <w:t>Da obrigatoriedade da empresa solicitar cancelamento neste órgão nos casos em</w:t>
      </w:r>
      <w:r>
        <w:rPr>
          <w:spacing w:val="1"/>
        </w:rPr>
        <w:t xml:space="preserve"> </w:t>
      </w:r>
      <w:r>
        <w:t xml:space="preserve">que a mesma </w:t>
      </w:r>
      <w:r w:rsidR="00CF1BD6">
        <w:t>obtenha</w:t>
      </w:r>
      <w:r>
        <w:t xml:space="preserve"> registro em outra instância de inspeção,</w:t>
      </w:r>
      <w:r>
        <w:rPr>
          <w:spacing w:val="1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assim a</w:t>
      </w:r>
      <w:r>
        <w:rPr>
          <w:spacing w:val="-2"/>
        </w:rPr>
        <w:t xml:space="preserve"> </w:t>
      </w:r>
      <w:r>
        <w:t>dupla</w:t>
      </w:r>
      <w:r>
        <w:rPr>
          <w:spacing w:val="-6"/>
        </w:rPr>
        <w:t xml:space="preserve"> </w:t>
      </w:r>
      <w:r>
        <w:t>fiscalização</w:t>
      </w:r>
      <w:r>
        <w:rPr>
          <w:spacing w:val="3"/>
        </w:rPr>
        <w:t xml:space="preserve"> </w:t>
      </w:r>
      <w:r>
        <w:t>(Lei</w:t>
      </w:r>
      <w:r>
        <w:rPr>
          <w:spacing w:val="-1"/>
        </w:rPr>
        <w:t xml:space="preserve"> </w:t>
      </w:r>
      <w:r>
        <w:t>10.799</w:t>
      </w:r>
      <w:r>
        <w:rPr>
          <w:spacing w:val="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10º).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ind w:right="117"/>
      </w:pPr>
      <w:r>
        <w:t>Da obrigatoriedade de atualização do Programa de Autocontroles, bem como dos</w:t>
      </w:r>
      <w:r>
        <w:rPr>
          <w:spacing w:val="1"/>
        </w:rPr>
        <w:t xml:space="preserve"> </w:t>
      </w:r>
      <w:r>
        <w:t>rótulos</w:t>
      </w:r>
      <w:r>
        <w:rPr>
          <w:spacing w:val="-4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fabricados.</w:t>
      </w:r>
    </w:p>
    <w:p w:rsidR="008A601E" w:rsidRDefault="001C56A7" w:rsidP="00390CB5">
      <w:pPr>
        <w:pStyle w:val="PargrafodaLista"/>
        <w:numPr>
          <w:ilvl w:val="0"/>
          <w:numId w:val="1"/>
        </w:numPr>
        <w:tabs>
          <w:tab w:val="left" w:pos="860"/>
        </w:tabs>
        <w:ind w:right="119"/>
      </w:pPr>
      <w:r>
        <w:t>Quando houverem registros de produtos contemplados na transferência, a critério</w:t>
      </w:r>
      <w:r w:rsidRPr="001C56A7">
        <w:rPr>
          <w:spacing w:val="1"/>
        </w:rPr>
        <w:t xml:space="preserve"> </w:t>
      </w:r>
      <w:r>
        <w:t>da GIPOA, será concedido prazo não superior a 30 (trinta) dias para atualização</w:t>
      </w:r>
      <w:r w:rsidRPr="001C56A7">
        <w:rPr>
          <w:spacing w:val="1"/>
        </w:rPr>
        <w:t xml:space="preserve"> </w:t>
      </w:r>
      <w:r>
        <w:t>dos rótulos, que deve ser apresentada ao SIP/POA mediante formulário específico</w:t>
      </w:r>
      <w:r w:rsidRPr="001C56A7">
        <w:rPr>
          <w:spacing w:val="1"/>
        </w:rPr>
        <w:t xml:space="preserve"> </w:t>
      </w:r>
      <w:r>
        <w:t>de alteração</w:t>
      </w:r>
      <w:r w:rsidRPr="001C56A7">
        <w:rPr>
          <w:spacing w:val="-2"/>
        </w:rPr>
        <w:t xml:space="preserve"> </w:t>
      </w:r>
      <w:r>
        <w:t>de</w:t>
      </w:r>
      <w:r w:rsidRPr="001C56A7">
        <w:rPr>
          <w:spacing w:val="3"/>
        </w:rPr>
        <w:t xml:space="preserve"> </w:t>
      </w:r>
      <w:r>
        <w:t>rótulo.</w:t>
      </w:r>
    </w:p>
    <w:p w:rsidR="001C56A7" w:rsidRDefault="001C56A7" w:rsidP="001C56A7">
      <w:pPr>
        <w:pStyle w:val="PargrafodaLista"/>
        <w:tabs>
          <w:tab w:val="left" w:pos="860"/>
        </w:tabs>
        <w:ind w:right="119" w:firstLine="0"/>
      </w:pP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ind w:right="118"/>
      </w:pPr>
      <w:r>
        <w:t>A empresa ingressante terá autorização para produzir somente produtos listados</w:t>
      </w:r>
      <w:r>
        <w:rPr>
          <w:spacing w:val="1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“Relação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Produtos</w:t>
      </w:r>
      <w:r>
        <w:rPr>
          <w:spacing w:val="7"/>
        </w:rPr>
        <w:t xml:space="preserve"> </w:t>
      </w:r>
      <w:r>
        <w:t>Registrados”</w:t>
      </w:r>
      <w:r>
        <w:rPr>
          <w:spacing w:val="7"/>
        </w:rPr>
        <w:t xml:space="preserve"> </w:t>
      </w:r>
      <w:r>
        <w:t>emitido</w:t>
      </w:r>
      <w:r>
        <w:rPr>
          <w:spacing w:val="10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FDA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GIPOA.</w:t>
      </w:r>
      <w:r>
        <w:rPr>
          <w:spacing w:val="4"/>
        </w:rPr>
        <w:t xml:space="preserve"> </w:t>
      </w:r>
      <w:r>
        <w:t>Portanto,</w:t>
      </w:r>
      <w:r>
        <w:rPr>
          <w:spacing w:val="8"/>
        </w:rPr>
        <w:t xml:space="preserve"> </w:t>
      </w:r>
      <w:r>
        <w:t>caso</w:t>
      </w:r>
      <w:r w:rsidR="00CF1BD6">
        <w:t xml:space="preserve"> </w:t>
      </w:r>
      <w:r>
        <w:rPr>
          <w:spacing w:val="-58"/>
        </w:rPr>
        <w:t xml:space="preserve"> </w:t>
      </w:r>
      <w:r w:rsidR="00CF1BD6">
        <w:t>não tenham sido contemplados prodtos no requerimento de transferencia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nova</w:t>
      </w:r>
      <w:r>
        <w:rPr>
          <w:spacing w:val="6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deverá</w:t>
      </w:r>
      <w:r>
        <w:rPr>
          <w:spacing w:val="2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produtos</w:t>
      </w:r>
      <w:r>
        <w:rPr>
          <w:spacing w:val="-5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iniciar</w:t>
      </w:r>
      <w:r>
        <w:rPr>
          <w:spacing w:val="-5"/>
        </w:rPr>
        <w:t xml:space="preserve"> </w:t>
      </w:r>
      <w:r>
        <w:t>as atividades.</w:t>
      </w:r>
    </w:p>
    <w:p w:rsidR="008A601E" w:rsidRDefault="008A601E">
      <w:pPr>
        <w:pStyle w:val="Corpodetexto"/>
        <w:ind w:left="0" w:firstLine="0"/>
        <w:jc w:val="left"/>
        <w:rPr>
          <w:sz w:val="20"/>
        </w:rPr>
      </w:pPr>
    </w:p>
    <w:p w:rsidR="008A601E" w:rsidRDefault="008A601E">
      <w:pPr>
        <w:pStyle w:val="Corpodetexto"/>
        <w:spacing w:before="1"/>
        <w:ind w:left="0" w:firstLine="0"/>
        <w:jc w:val="left"/>
        <w:rPr>
          <w:sz w:val="29"/>
        </w:rPr>
      </w:pPr>
    </w:p>
    <w:p w:rsidR="008A601E" w:rsidRDefault="001C56A7">
      <w:pPr>
        <w:pStyle w:val="Corpodetexto"/>
        <w:spacing w:before="94" w:line="360" w:lineRule="auto"/>
        <w:ind w:left="139" w:firstLine="355"/>
        <w:jc w:val="left"/>
      </w:pPr>
      <w:r>
        <w:rPr>
          <w:u w:val="single"/>
        </w:rPr>
        <w:t>São</w:t>
      </w:r>
      <w:r>
        <w:rPr>
          <w:spacing w:val="1"/>
          <w:u w:val="single"/>
        </w:rPr>
        <w:t xml:space="preserve"> </w:t>
      </w:r>
      <w:r>
        <w:rPr>
          <w:u w:val="single"/>
        </w:rPr>
        <w:t>documentos</w:t>
      </w:r>
      <w:r>
        <w:rPr>
          <w:spacing w:val="-1"/>
          <w:u w:val="single"/>
        </w:rPr>
        <w:t xml:space="preserve"> </w:t>
      </w:r>
      <w:r>
        <w:rPr>
          <w:u w:val="single"/>
        </w:rPr>
        <w:t>necessários para</w:t>
      </w:r>
      <w:r>
        <w:rPr>
          <w:spacing w:val="1"/>
          <w:u w:val="single"/>
        </w:rPr>
        <w:t xml:space="preserve"> </w:t>
      </w:r>
      <w:r>
        <w:rPr>
          <w:u w:val="single"/>
        </w:rPr>
        <w:t>promover</w:t>
      </w:r>
      <w:r>
        <w:rPr>
          <w:spacing w:val="2"/>
          <w:u w:val="single"/>
        </w:rPr>
        <w:t xml:space="preserve"> </w:t>
      </w: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transferência</w:t>
      </w:r>
      <w:r>
        <w:rPr>
          <w:spacing w:val="7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titularidade</w:t>
      </w:r>
      <w:r>
        <w:rPr>
          <w:spacing w:val="1"/>
          <w:u w:val="single"/>
        </w:rPr>
        <w:t xml:space="preserve"> </w:t>
      </w:r>
      <w:r>
        <w:rPr>
          <w:u w:val="single"/>
        </w:rPr>
        <w:t>do</w:t>
      </w:r>
      <w:r>
        <w:rPr>
          <w:spacing w:val="6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58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SIP/POA: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42" w:lineRule="auto"/>
      </w:pPr>
      <w:r>
        <w:rPr>
          <w:rFonts w:ascii="Arial" w:hAnsi="Arial"/>
          <w:b/>
        </w:rPr>
        <w:t>Requerimento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transferência</w:t>
      </w:r>
      <w:r>
        <w:rPr>
          <w:rFonts w:ascii="Arial" w:hAnsi="Arial"/>
          <w:b/>
          <w:spacing w:val="1"/>
        </w:rPr>
        <w:t xml:space="preserve"> </w:t>
      </w:r>
      <w:r>
        <w:t>de titularidade (modelo disponível no site da</w:t>
      </w:r>
      <w:r>
        <w:rPr>
          <w:spacing w:val="1"/>
        </w:rPr>
        <w:t xml:space="preserve"> </w:t>
      </w:r>
      <w:r>
        <w:t>ADAPAR)</w:t>
      </w:r>
      <w:r>
        <w:rPr>
          <w:spacing w:val="1"/>
        </w:rPr>
        <w:t xml:space="preserve"> </w:t>
      </w:r>
      <w:r>
        <w:t>assinado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interessadas,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reconhecida</w:t>
      </w:r>
      <w:r>
        <w:rPr>
          <w:spacing w:val="1"/>
        </w:rPr>
        <w:t xml:space="preserve"> </w:t>
      </w:r>
      <w:r>
        <w:t>(responsável</w:t>
      </w:r>
      <w:r>
        <w:rPr>
          <w:spacing w:val="-1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anterior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ingressante).</w:t>
      </w:r>
      <w:r>
        <w:rPr>
          <w:spacing w:val="2"/>
        </w:rPr>
        <w:t xml:space="preserve"> 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61" w:lineRule="exact"/>
        <w:ind w:right="0" w:hanging="361"/>
      </w:pPr>
      <w:r>
        <w:rPr>
          <w:rFonts w:ascii="Arial" w:hAnsi="Arial"/>
          <w:b/>
        </w:rPr>
        <w:t>Contrato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social</w:t>
      </w:r>
      <w:r>
        <w:rPr>
          <w:rFonts w:ascii="Arial" w:hAnsi="Arial"/>
          <w:b/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nova</w:t>
      </w:r>
      <w:r>
        <w:rPr>
          <w:spacing w:val="2"/>
        </w:rPr>
        <w:t xml:space="preserve"> </w:t>
      </w:r>
      <w:r>
        <w:t>empresa.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66" w:lineRule="exact"/>
        <w:ind w:right="0" w:hanging="361"/>
      </w:pPr>
      <w:r>
        <w:t>Cartão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CNPJ</w:t>
      </w:r>
      <w:r>
        <w:rPr>
          <w:rFonts w:ascii="Arial" w:hAnsi="Arial"/>
          <w:b/>
          <w:spacing w:val="-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CAD</w:t>
      </w:r>
      <w:r>
        <w:rPr>
          <w:spacing w:val="-1"/>
        </w:rPr>
        <w:t xml:space="preserve"> </w:t>
      </w:r>
      <w:r>
        <w:t>PRO.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42" w:lineRule="auto"/>
        <w:ind w:right="118"/>
      </w:pPr>
      <w:r>
        <w:t xml:space="preserve">Comprovante de </w:t>
      </w:r>
      <w:r>
        <w:rPr>
          <w:rFonts w:ascii="Arial" w:hAnsi="Arial"/>
          <w:b/>
        </w:rPr>
        <w:t xml:space="preserve">propriedade </w:t>
      </w:r>
      <w:r>
        <w:t>ou contrato de uso da propriedade (ou contrato de</w:t>
      </w:r>
      <w:r>
        <w:rPr>
          <w:spacing w:val="1"/>
        </w:rPr>
        <w:t xml:space="preserve"> </w:t>
      </w:r>
      <w:r>
        <w:t>arrendamento,</w:t>
      </w:r>
      <w:r>
        <w:rPr>
          <w:spacing w:val="1"/>
        </w:rPr>
        <w:t xml:space="preserve"> </w:t>
      </w:r>
      <w:r>
        <w:t>venda,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comprove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transferência).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59" w:lineRule="exact"/>
        <w:ind w:right="0" w:hanging="361"/>
      </w:pPr>
      <w:r>
        <w:t>Cópia</w:t>
      </w:r>
      <w:r>
        <w:rPr>
          <w:spacing w:val="-4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RG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CPF</w:t>
      </w:r>
      <w:r>
        <w:rPr>
          <w:rFonts w:ascii="Arial" w:hAnsi="Arial"/>
          <w:b/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legal da empresa ingressante.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42" w:lineRule="auto"/>
        <w:ind w:right="119"/>
      </w:pPr>
      <w:r>
        <w:rPr>
          <w:rFonts w:ascii="Arial" w:hAnsi="Arial"/>
          <w:b/>
        </w:rPr>
        <w:t xml:space="preserve">Declaração de ciência </w:t>
      </w:r>
      <w:r>
        <w:t>de termo de compromissos não concluídos, projetos em</w:t>
      </w:r>
      <w:r>
        <w:rPr>
          <w:spacing w:val="1"/>
        </w:rPr>
        <w:t xml:space="preserve"> </w:t>
      </w:r>
      <w:r>
        <w:t xml:space="preserve">processos de aprovação ou cronogramas de obras anteriores em andamento. 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44" w:lineRule="auto"/>
      </w:pP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Autocontroles</w:t>
      </w:r>
      <w:r>
        <w:rPr>
          <w:rFonts w:ascii="Arial" w:hAnsi="Arial"/>
          <w:b/>
          <w:spacing w:val="1"/>
        </w:rPr>
        <w:t xml:space="preserve"> </w:t>
      </w:r>
      <w:r>
        <w:t>atualizado,</w:t>
      </w:r>
      <w:r>
        <w:rPr>
          <w:spacing w:val="1"/>
        </w:rPr>
        <w:t xml:space="preserve"> </w:t>
      </w:r>
      <w:r>
        <w:t>aprovado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ingressante</w:t>
      </w:r>
      <w:r>
        <w:rPr>
          <w:spacing w:val="-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RT.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ind w:right="119"/>
      </w:pPr>
      <w:r>
        <w:t>No caso de não haverem produtos registrados contemplados no requerimento de</w:t>
      </w:r>
      <w:r>
        <w:rPr>
          <w:spacing w:val="1"/>
        </w:rPr>
        <w:t xml:space="preserve"> </w:t>
      </w:r>
      <w:r>
        <w:t>transferência,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registro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produtos</w:t>
      </w:r>
      <w:r>
        <w:rPr>
          <w:rFonts w:ascii="Arial" w:hAnsi="Arial"/>
          <w:b/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pretende</w:t>
      </w:r>
      <w:r>
        <w:rPr>
          <w:spacing w:val="1"/>
        </w:rPr>
        <w:t xml:space="preserve"> </w:t>
      </w:r>
      <w:r>
        <w:t>produzir, com recolhimento das respectivas taxas (somente devem ser analisados</w:t>
      </w:r>
      <w:r>
        <w:rPr>
          <w:spacing w:val="1"/>
        </w:rPr>
        <w:t xml:space="preserve"> </w:t>
      </w:r>
      <w:r>
        <w:t>produtos previstos no</w:t>
      </w:r>
      <w:r>
        <w:rPr>
          <w:spacing w:val="3"/>
        </w:rPr>
        <w:t xml:space="preserve"> </w:t>
      </w:r>
      <w:r>
        <w:t>memorial</w:t>
      </w:r>
      <w:r>
        <w:rPr>
          <w:spacing w:val="-1"/>
        </w:rPr>
        <w:t xml:space="preserve"> </w:t>
      </w:r>
      <w:r>
        <w:t>econômico</w:t>
      </w:r>
      <w:r>
        <w:rPr>
          <w:spacing w:val="-2"/>
        </w:rPr>
        <w:t xml:space="preserve"> </w:t>
      </w:r>
      <w:r>
        <w:t>sanitário</w:t>
      </w:r>
      <w:r>
        <w:rPr>
          <w:spacing w:val="2"/>
        </w:rPr>
        <w:t xml:space="preserve"> </w:t>
      </w:r>
      <w:r>
        <w:t>aprovado).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</w:pP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produtos</w:t>
      </w:r>
      <w:r>
        <w:rPr>
          <w:spacing w:val="1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requerimento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transferência,</w:t>
      </w:r>
      <w:r>
        <w:rPr>
          <w:spacing w:val="1"/>
        </w:rPr>
        <w:t xml:space="preserve"> </w:t>
      </w:r>
      <w:r>
        <w:t>apresentar</w:t>
      </w:r>
      <w:r>
        <w:rPr>
          <w:spacing w:val="-59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rótulo.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spacing w:line="237" w:lineRule="auto"/>
        <w:ind w:right="119"/>
      </w:pPr>
      <w:r>
        <w:t>Para MATADOUROS, o titular ingressante deve apresentar contrato com empresa</w:t>
      </w:r>
      <w:r>
        <w:rPr>
          <w:spacing w:val="1"/>
        </w:rPr>
        <w:t xml:space="preserve"> </w:t>
      </w:r>
      <w:r>
        <w:t xml:space="preserve">credenciada para realizar inspeção, conforme portaria 158/2014 da ADAPAR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indicação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veterinário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inspetor</w:t>
      </w:r>
      <w:r>
        <w:t>.</w:t>
      </w:r>
    </w:p>
    <w:p w:rsidR="008A601E" w:rsidRDefault="001C56A7">
      <w:pPr>
        <w:pStyle w:val="PargrafodaLista"/>
        <w:numPr>
          <w:ilvl w:val="0"/>
          <w:numId w:val="1"/>
        </w:numPr>
        <w:tabs>
          <w:tab w:val="left" w:pos="860"/>
        </w:tabs>
        <w:ind w:right="0" w:hanging="361"/>
      </w:pPr>
      <w:r>
        <w:t>Contrato</w:t>
      </w:r>
      <w:r>
        <w:rPr>
          <w:spacing w:val="-5"/>
        </w:rPr>
        <w:t xml:space="preserve"> </w:t>
      </w:r>
      <w:r>
        <w:t xml:space="preserve">de </w:t>
      </w:r>
      <w:r>
        <w:rPr>
          <w:rFonts w:ascii="Arial" w:hAnsi="Arial"/>
          <w:b/>
        </w:rPr>
        <w:t>responsabilidade técnica</w:t>
      </w:r>
      <w:r>
        <w:rPr>
          <w:rFonts w:ascii="Arial" w:hAnsi="Arial"/>
          <w:b/>
          <w:spacing w:val="-4"/>
        </w:rPr>
        <w:t xml:space="preserve"> </w:t>
      </w:r>
      <w:r>
        <w:t>homologado</w:t>
      </w:r>
      <w:r>
        <w:rPr>
          <w:spacing w:val="-5"/>
        </w:rPr>
        <w:t xml:space="preserve"> </w:t>
      </w:r>
      <w:r>
        <w:t>pelo conselho</w:t>
      </w:r>
      <w:r>
        <w:rPr>
          <w:spacing w:val="-4"/>
        </w:rPr>
        <w:t xml:space="preserve"> </w:t>
      </w:r>
      <w:r>
        <w:t>de classe.</w:t>
      </w:r>
    </w:p>
    <w:p w:rsidR="008A601E" w:rsidRDefault="008A601E">
      <w:pPr>
        <w:pStyle w:val="Corpodetexto"/>
        <w:ind w:left="0" w:firstLine="0"/>
        <w:jc w:val="left"/>
        <w:rPr>
          <w:sz w:val="26"/>
        </w:rPr>
      </w:pPr>
    </w:p>
    <w:p w:rsidR="008A601E" w:rsidRDefault="008A601E">
      <w:pPr>
        <w:pStyle w:val="Corpodetexto"/>
        <w:ind w:left="0" w:firstLine="0"/>
        <w:jc w:val="left"/>
        <w:rPr>
          <w:sz w:val="26"/>
        </w:rPr>
      </w:pPr>
    </w:p>
    <w:p w:rsidR="008A601E" w:rsidRPr="00481FB0" w:rsidRDefault="001C56A7" w:rsidP="00481FB0">
      <w:pPr>
        <w:pStyle w:val="Corpodetexto"/>
        <w:spacing w:before="220" w:line="237" w:lineRule="auto"/>
        <w:ind w:left="499" w:right="507" w:firstLine="0"/>
        <w:jc w:val="center"/>
        <w:rPr>
          <w:sz w:val="18"/>
          <w:szCs w:val="18"/>
        </w:rPr>
      </w:pPr>
      <w:r w:rsidRPr="00481FB0">
        <w:rPr>
          <w:sz w:val="18"/>
          <w:szCs w:val="18"/>
        </w:rPr>
        <w:t>COORDENAÇÃO</w:t>
      </w:r>
      <w:r w:rsidRPr="00481FB0">
        <w:rPr>
          <w:spacing w:val="-3"/>
          <w:sz w:val="18"/>
          <w:szCs w:val="18"/>
        </w:rPr>
        <w:t xml:space="preserve"> </w:t>
      </w:r>
      <w:r w:rsidRPr="00481FB0">
        <w:rPr>
          <w:sz w:val="18"/>
          <w:szCs w:val="18"/>
        </w:rPr>
        <w:t>DO</w:t>
      </w:r>
      <w:r w:rsidRPr="00481FB0">
        <w:rPr>
          <w:spacing w:val="-6"/>
          <w:sz w:val="18"/>
          <w:szCs w:val="18"/>
        </w:rPr>
        <w:t xml:space="preserve"> </w:t>
      </w:r>
      <w:r w:rsidRPr="00481FB0">
        <w:rPr>
          <w:sz w:val="18"/>
          <w:szCs w:val="18"/>
        </w:rPr>
        <w:t>PROGRAMA</w:t>
      </w:r>
      <w:r w:rsidRPr="00481FB0">
        <w:rPr>
          <w:spacing w:val="-1"/>
          <w:sz w:val="18"/>
          <w:szCs w:val="18"/>
        </w:rPr>
        <w:t xml:space="preserve"> </w:t>
      </w:r>
      <w:r w:rsidRPr="00481FB0">
        <w:rPr>
          <w:sz w:val="18"/>
          <w:szCs w:val="18"/>
        </w:rPr>
        <w:t>DE</w:t>
      </w:r>
      <w:r w:rsidRPr="00481FB0">
        <w:rPr>
          <w:spacing w:val="-1"/>
          <w:sz w:val="18"/>
          <w:szCs w:val="18"/>
        </w:rPr>
        <w:t xml:space="preserve"> </w:t>
      </w:r>
      <w:r w:rsidRPr="00481FB0">
        <w:rPr>
          <w:sz w:val="18"/>
          <w:szCs w:val="18"/>
        </w:rPr>
        <w:t>REGISTRO</w:t>
      </w:r>
      <w:r w:rsidRPr="00481FB0">
        <w:rPr>
          <w:spacing w:val="-3"/>
          <w:sz w:val="18"/>
          <w:szCs w:val="18"/>
        </w:rPr>
        <w:t xml:space="preserve"> </w:t>
      </w:r>
      <w:r w:rsidRPr="00481FB0">
        <w:rPr>
          <w:sz w:val="18"/>
          <w:szCs w:val="18"/>
        </w:rPr>
        <w:t>DE</w:t>
      </w:r>
      <w:r w:rsidRPr="00481FB0">
        <w:rPr>
          <w:spacing w:val="-1"/>
          <w:sz w:val="18"/>
          <w:szCs w:val="18"/>
        </w:rPr>
        <w:t xml:space="preserve"> </w:t>
      </w:r>
      <w:r w:rsidRPr="00481FB0">
        <w:rPr>
          <w:sz w:val="18"/>
          <w:szCs w:val="18"/>
        </w:rPr>
        <w:t>INDUSTRIAS</w:t>
      </w:r>
      <w:r w:rsidRPr="00481FB0">
        <w:rPr>
          <w:spacing w:val="-1"/>
          <w:sz w:val="18"/>
          <w:szCs w:val="18"/>
        </w:rPr>
        <w:t xml:space="preserve"> </w:t>
      </w:r>
      <w:r w:rsidRPr="00481FB0">
        <w:rPr>
          <w:sz w:val="18"/>
          <w:szCs w:val="18"/>
        </w:rPr>
        <w:t>DE</w:t>
      </w:r>
      <w:r w:rsidRPr="00481FB0">
        <w:rPr>
          <w:spacing w:val="-6"/>
          <w:sz w:val="18"/>
          <w:szCs w:val="18"/>
        </w:rPr>
        <w:t xml:space="preserve"> </w:t>
      </w:r>
      <w:r w:rsidRPr="00481FB0">
        <w:rPr>
          <w:sz w:val="18"/>
          <w:szCs w:val="18"/>
        </w:rPr>
        <w:t>POA</w:t>
      </w:r>
      <w:r w:rsidR="00481FB0" w:rsidRPr="00481FB0">
        <w:rPr>
          <w:sz w:val="18"/>
          <w:szCs w:val="18"/>
        </w:rPr>
        <w:t xml:space="preserve"> </w:t>
      </w:r>
      <w:r w:rsidRPr="00481FB0">
        <w:rPr>
          <w:sz w:val="18"/>
          <w:szCs w:val="18"/>
        </w:rPr>
        <w:t>GIPOA/ADAPAR</w:t>
      </w:r>
    </w:p>
    <w:p w:rsidR="00481FB0" w:rsidRDefault="00481FB0" w:rsidP="00481FB0">
      <w:pPr>
        <w:pStyle w:val="Corpodetexto"/>
        <w:spacing w:before="1"/>
        <w:ind w:left="878" w:right="505" w:firstLine="0"/>
        <w:rPr>
          <w:sz w:val="18"/>
          <w:szCs w:val="18"/>
        </w:rPr>
      </w:pPr>
      <w:r w:rsidRPr="00481FB0">
        <w:rPr>
          <w:sz w:val="18"/>
          <w:szCs w:val="18"/>
        </w:rPr>
        <w:tab/>
      </w:r>
      <w:r w:rsidRPr="00481FB0">
        <w:rPr>
          <w:sz w:val="18"/>
          <w:szCs w:val="18"/>
        </w:rPr>
        <w:tab/>
      </w:r>
      <w:r w:rsidRPr="00481FB0">
        <w:rPr>
          <w:sz w:val="18"/>
          <w:szCs w:val="18"/>
        </w:rPr>
        <w:tab/>
      </w:r>
      <w:r w:rsidRPr="00481FB0">
        <w:rPr>
          <w:sz w:val="18"/>
          <w:szCs w:val="18"/>
        </w:rPr>
        <w:tab/>
      </w:r>
      <w:r w:rsidRPr="00481FB0">
        <w:rPr>
          <w:sz w:val="18"/>
          <w:szCs w:val="18"/>
        </w:rPr>
        <w:tab/>
      </w:r>
    </w:p>
    <w:p w:rsidR="00481FB0" w:rsidRDefault="00481FB0" w:rsidP="00481FB0">
      <w:pPr>
        <w:pStyle w:val="Corpodetexto"/>
        <w:spacing w:before="1"/>
        <w:ind w:right="505"/>
        <w:rPr>
          <w:sz w:val="18"/>
          <w:szCs w:val="18"/>
        </w:rPr>
      </w:pPr>
      <w:bookmarkStart w:id="0" w:name="_GoBack"/>
      <w:bookmarkEnd w:id="0"/>
    </w:p>
    <w:p w:rsidR="008A601E" w:rsidRPr="00481FB0" w:rsidRDefault="00CF1BD6" w:rsidP="00481FB0">
      <w:pPr>
        <w:pStyle w:val="Corpodetexto"/>
        <w:spacing w:before="1"/>
        <w:ind w:right="505"/>
        <w:jc w:val="center"/>
        <w:rPr>
          <w:sz w:val="18"/>
          <w:szCs w:val="18"/>
        </w:rPr>
      </w:pPr>
      <w:r>
        <w:rPr>
          <w:sz w:val="18"/>
          <w:szCs w:val="18"/>
        </w:rPr>
        <w:t>março</w:t>
      </w:r>
      <w:r w:rsidR="00481FB0" w:rsidRPr="00481FB0">
        <w:rPr>
          <w:sz w:val="18"/>
          <w:szCs w:val="18"/>
        </w:rPr>
        <w:t xml:space="preserve"> / 202</w:t>
      </w:r>
      <w:r>
        <w:rPr>
          <w:sz w:val="18"/>
          <w:szCs w:val="18"/>
        </w:rPr>
        <w:t>4</w:t>
      </w:r>
    </w:p>
    <w:sectPr w:rsidR="008A601E" w:rsidRPr="00481FB0" w:rsidSect="001C56A7">
      <w:headerReference w:type="default" r:id="rId8"/>
      <w:footerReference w:type="default" r:id="rId9"/>
      <w:pgSz w:w="12240" w:h="15840"/>
      <w:pgMar w:top="2410" w:right="1580" w:bottom="1540" w:left="1560" w:header="743" w:footer="1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1E" w:rsidRDefault="001C56A7">
      <w:r>
        <w:separator/>
      </w:r>
    </w:p>
  </w:endnote>
  <w:endnote w:type="continuationSeparator" w:id="0">
    <w:p w:rsidR="001C601E" w:rsidRDefault="001C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Lucidasans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1E" w:rsidRDefault="008A601E">
    <w:pPr>
      <w:pStyle w:val="Corpodetexto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1E" w:rsidRDefault="001C56A7">
      <w:r>
        <w:separator/>
      </w:r>
    </w:p>
  </w:footnote>
  <w:footnote w:type="continuationSeparator" w:id="0">
    <w:p w:rsidR="001C601E" w:rsidRDefault="001C5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1E" w:rsidRDefault="001C56A7">
    <w:pPr>
      <w:pStyle w:val="Corpodetexto"/>
      <w:spacing w:line="14" w:lineRule="auto"/>
      <w:ind w:left="0" w:firstLine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68476F14" wp14:editId="177D2F54">
              <wp:simplePos x="0" y="0"/>
              <wp:positionH relativeFrom="page">
                <wp:posOffset>1388631</wp:posOffset>
              </wp:positionH>
              <wp:positionV relativeFrom="page">
                <wp:posOffset>498485</wp:posOffset>
              </wp:positionV>
              <wp:extent cx="4224020" cy="515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402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601E" w:rsidRDefault="001C56A7">
                          <w:pPr>
                            <w:spacing w:before="10"/>
                            <w:ind w:left="6" w:right="6"/>
                            <w:jc w:val="center"/>
                            <w:rPr>
                              <w:rFonts w:ascii="Arial" w:hAnsi="Arial"/>
                              <w:b/>
                              <w:sz w:val="2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AGÊNCIA</w:t>
                          </w:r>
                          <w:r>
                            <w:rPr>
                              <w:rFonts w:ascii="Arial" w:hAnsi="Arial"/>
                              <w:b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DEFESA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AGROPECUÁRIA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6"/>
                            </w:rPr>
                            <w:t>PARANÁ</w:t>
                          </w:r>
                        </w:p>
                        <w:p w:rsidR="008A601E" w:rsidRDefault="001C56A7">
                          <w:pPr>
                            <w:spacing w:before="229"/>
                            <w:ind w:left="14" w:right="6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GERÊNCIA</w:t>
                          </w:r>
                          <w:r>
                            <w:rPr>
                              <w:rFonts w:ascii="Arial" w:hAnsi="Arial"/>
                              <w:b/>
                              <w:spacing w:val="-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INSPEÇÃO</w:t>
                          </w:r>
                          <w:r>
                            <w:rPr>
                              <w:rFonts w:ascii="Arial" w:hAnsi="Arial"/>
                              <w:b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PRODUTOS</w:t>
                          </w:r>
                          <w:r>
                            <w:rPr>
                              <w:rFonts w:ascii="Arial" w:hAnsi="Arial"/>
                              <w:b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ORIGEM</w:t>
                          </w:r>
                          <w:r>
                            <w:rPr>
                              <w:rFonts w:ascii="Arial" w:hAnsi="Arial"/>
                              <w:b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</w:rPr>
                            <w:t>ANIMAL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76F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35pt;margin-top:39.25pt;width:332.6pt;height:40.6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IR2qw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" filled="f" stroked="f">
              <v:textbox inset="0,0,0,0">
                <w:txbxContent>
                  <w:p w:rsidR="008A601E" w:rsidRDefault="001C56A7">
                    <w:pPr>
                      <w:spacing w:before="10"/>
                      <w:ind w:left="6" w:right="6"/>
                      <w:jc w:val="center"/>
                      <w:rPr>
                        <w:rFonts w:ascii="Arial" w:hAnsi="Arial"/>
                        <w:b/>
                        <w:sz w:val="26"/>
                      </w:rPr>
                    </w:pPr>
                    <w:r>
                      <w:rPr>
                        <w:rFonts w:ascii="Arial" w:hAnsi="Arial"/>
                        <w:b/>
                        <w:sz w:val="26"/>
                      </w:rPr>
                      <w:t>AGÊNCIA</w:t>
                    </w:r>
                    <w:r>
                      <w:rPr>
                        <w:rFonts w:ascii="Arial" w:hAnsi="Arial"/>
                        <w:b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DEFESA</w:t>
                    </w:r>
                    <w:r>
                      <w:rPr>
                        <w:rFonts w:ascii="Arial" w:hAnsi="Arial"/>
                        <w:b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AGROPECUÁRIA</w:t>
                    </w:r>
                    <w:r>
                      <w:rPr>
                        <w:rFonts w:ascii="Arial" w:hAnsi="Arial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6"/>
                      </w:rPr>
                      <w:t>PARANÁ</w:t>
                    </w:r>
                  </w:p>
                  <w:p w:rsidR="008A601E" w:rsidRDefault="001C56A7">
                    <w:pPr>
                      <w:spacing w:before="229"/>
                      <w:ind w:left="14" w:right="6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spacing w:val="-7"/>
                      </w:rPr>
                      <w:t>GERÊNCIA</w:t>
                    </w:r>
                    <w:r>
                      <w:rPr>
                        <w:rFonts w:ascii="Arial" w:hAnsi="Arial"/>
                        <w:b/>
                        <w:spacing w:val="-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INSPEÇÃO</w:t>
                    </w:r>
                    <w:r>
                      <w:rPr>
                        <w:rFonts w:ascii="Arial" w:hAnsi="Arial"/>
                        <w:b/>
                        <w:spacing w:val="-1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PRODUTOS</w:t>
                    </w:r>
                    <w:r>
                      <w:rPr>
                        <w:rFonts w:ascii="Arial" w:hAnsi="Arial"/>
                        <w:b/>
                        <w:spacing w:val="-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1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ORIGEM</w:t>
                    </w:r>
                    <w:r>
                      <w:rPr>
                        <w:rFonts w:ascii="Arial" w:hAnsi="Arial"/>
                        <w:b/>
                        <w:spacing w:val="-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7"/>
                      </w:rPr>
                      <w:t>ANIMAL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487543296" behindDoc="1" locked="0" layoutInCell="1" allowOverlap="1" wp14:anchorId="3019004E" wp14:editId="4A2D811C">
          <wp:simplePos x="0" y="0"/>
          <wp:positionH relativeFrom="page">
            <wp:posOffset>5702111</wp:posOffset>
          </wp:positionH>
          <wp:positionV relativeFrom="page">
            <wp:posOffset>348976</wp:posOffset>
          </wp:positionV>
          <wp:extent cx="887346" cy="768120"/>
          <wp:effectExtent l="0" t="0" r="0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7346" cy="768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Arial" w:hAnsi="Arial" w:cs="Arial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cs="Arial"/>
        <w:b/>
        <w:bCs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ascii="Arial" w:hAnsi="Arial" w:cs="Arial"/>
        <w:b/>
        <w:bCs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cs="Arial"/>
        <w:b/>
        <w:bCs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ascii="Arial" w:hAnsi="Arial" w:cs="Arial"/>
        <w:b/>
        <w:bCs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cs="Arial"/>
        <w:b/>
        <w:bCs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ascii="Arial" w:hAnsi="Arial" w:cs="Arial"/>
        <w:b/>
        <w:bCs/>
        <w:sz w:val="20"/>
        <w:szCs w:val="20"/>
      </w:rPr>
    </w:lvl>
  </w:abstractNum>
  <w:abstractNum w:abstractNumId="1" w15:restartNumberingAfterBreak="0">
    <w:nsid w:val="48496BC6"/>
    <w:multiLevelType w:val="multilevel"/>
    <w:tmpl w:val="CC161004"/>
    <w:lvl w:ilvl="0">
      <w:start w:val="1"/>
      <w:numFmt w:val="decimal"/>
      <w:pStyle w:val="Captul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977615"/>
    <w:multiLevelType w:val="hybridMultilevel"/>
    <w:tmpl w:val="A15816A2"/>
    <w:lvl w:ilvl="0" w:tplc="CAB88ACA">
      <w:numFmt w:val="bullet"/>
      <w:lvlText w:val=""/>
      <w:lvlJc w:val="left"/>
      <w:pPr>
        <w:ind w:left="85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D0D8A6BE">
      <w:numFmt w:val="bullet"/>
      <w:lvlText w:val="•"/>
      <w:lvlJc w:val="left"/>
      <w:pPr>
        <w:ind w:left="1684" w:hanging="360"/>
      </w:pPr>
      <w:rPr>
        <w:rFonts w:hint="default"/>
        <w:lang w:val="pt-PT" w:eastAsia="en-US" w:bidi="ar-SA"/>
      </w:rPr>
    </w:lvl>
    <w:lvl w:ilvl="2" w:tplc="65F03BF6">
      <w:numFmt w:val="bullet"/>
      <w:lvlText w:val="•"/>
      <w:lvlJc w:val="left"/>
      <w:pPr>
        <w:ind w:left="2508" w:hanging="360"/>
      </w:pPr>
      <w:rPr>
        <w:rFonts w:hint="default"/>
        <w:lang w:val="pt-PT" w:eastAsia="en-US" w:bidi="ar-SA"/>
      </w:rPr>
    </w:lvl>
    <w:lvl w:ilvl="3" w:tplc="B6706A44"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4" w:tplc="0958B948">
      <w:numFmt w:val="bullet"/>
      <w:lvlText w:val="•"/>
      <w:lvlJc w:val="left"/>
      <w:pPr>
        <w:ind w:left="4156" w:hanging="360"/>
      </w:pPr>
      <w:rPr>
        <w:rFonts w:hint="default"/>
        <w:lang w:val="pt-PT" w:eastAsia="en-US" w:bidi="ar-SA"/>
      </w:rPr>
    </w:lvl>
    <w:lvl w:ilvl="5" w:tplc="8D4C0FD8">
      <w:numFmt w:val="bullet"/>
      <w:lvlText w:val="•"/>
      <w:lvlJc w:val="left"/>
      <w:pPr>
        <w:ind w:left="4980" w:hanging="360"/>
      </w:pPr>
      <w:rPr>
        <w:rFonts w:hint="default"/>
        <w:lang w:val="pt-PT" w:eastAsia="en-US" w:bidi="ar-SA"/>
      </w:rPr>
    </w:lvl>
    <w:lvl w:ilvl="6" w:tplc="2410DAC2">
      <w:numFmt w:val="bullet"/>
      <w:lvlText w:val="•"/>
      <w:lvlJc w:val="left"/>
      <w:pPr>
        <w:ind w:left="5804" w:hanging="360"/>
      </w:pPr>
      <w:rPr>
        <w:rFonts w:hint="default"/>
        <w:lang w:val="pt-PT" w:eastAsia="en-US" w:bidi="ar-SA"/>
      </w:rPr>
    </w:lvl>
    <w:lvl w:ilvl="7" w:tplc="CC964BEA">
      <w:numFmt w:val="bullet"/>
      <w:lvlText w:val="•"/>
      <w:lvlJc w:val="left"/>
      <w:pPr>
        <w:ind w:left="6628" w:hanging="360"/>
      </w:pPr>
      <w:rPr>
        <w:rFonts w:hint="default"/>
        <w:lang w:val="pt-PT" w:eastAsia="en-US" w:bidi="ar-SA"/>
      </w:rPr>
    </w:lvl>
    <w:lvl w:ilvl="8" w:tplc="C7605EA4">
      <w:numFmt w:val="bullet"/>
      <w:lvlText w:val="•"/>
      <w:lvlJc w:val="left"/>
      <w:pPr>
        <w:ind w:left="7452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1E"/>
    <w:rsid w:val="001C56A7"/>
    <w:rsid w:val="001C601E"/>
    <w:rsid w:val="00481FB0"/>
    <w:rsid w:val="008A601E"/>
    <w:rsid w:val="00CC1CE8"/>
    <w:rsid w:val="00C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7AFE01"/>
  <w15:docId w15:val="{DEB8C009-D327-48B4-BB1E-360D136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859" w:hanging="360"/>
      <w:jc w:val="both"/>
    </w:pPr>
  </w:style>
  <w:style w:type="paragraph" w:styleId="Ttulo">
    <w:name w:val="Title"/>
    <w:basedOn w:val="Normal"/>
    <w:uiPriority w:val="1"/>
    <w:qFormat/>
    <w:pPr>
      <w:spacing w:before="10"/>
      <w:ind w:left="6" w:right="6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859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style-span">
    <w:name w:val="apple-style-span"/>
    <w:basedOn w:val="Fontepargpadro"/>
    <w:rsid w:val="00481FB0"/>
  </w:style>
  <w:style w:type="paragraph" w:customStyle="1" w:styleId="Captulo">
    <w:name w:val="Capítulo"/>
    <w:basedOn w:val="Normal"/>
    <w:next w:val="Corpodetexto"/>
    <w:rsid w:val="00481FB0"/>
    <w:pPr>
      <w:keepNext/>
      <w:widowControl/>
      <w:numPr>
        <w:numId w:val="3"/>
      </w:numPr>
      <w:suppressAutoHyphens/>
      <w:autoSpaceDE/>
      <w:autoSpaceDN/>
      <w:spacing w:before="283" w:after="113"/>
    </w:pPr>
    <w:rPr>
      <w:rFonts w:ascii="Arial" w:eastAsia="Mincho" w:hAnsi="Arial" w:cs="Lucidasans"/>
      <w:b/>
      <w:color w:val="000000"/>
      <w:sz w:val="20"/>
      <w:szCs w:val="28"/>
      <w:lang w:val="pt-BR" w:eastAsia="zh-CN"/>
    </w:rPr>
  </w:style>
  <w:style w:type="paragraph" w:styleId="Cabealho">
    <w:name w:val="header"/>
    <w:basedOn w:val="Normal"/>
    <w:link w:val="CabealhoChar"/>
    <w:uiPriority w:val="99"/>
    <w:unhideWhenUsed/>
    <w:rsid w:val="001C56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56A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C56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56A7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CF1B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ida.adapar.pr.gov.br/daeda/boletoPublico.do?action=carregarInterfaceConsult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Gizela Pereira Diomedes Bescorovaine</dc:creator>
  <cp:lastModifiedBy>Gizela Pereira Diomedes Bescorovaine</cp:lastModifiedBy>
  <cp:revision>2</cp:revision>
  <dcterms:created xsi:type="dcterms:W3CDTF">2024-03-12T13:33:00Z</dcterms:created>
  <dcterms:modified xsi:type="dcterms:W3CDTF">2024-03-12T13:33:00Z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2017-08-07T00:00:00Z</vt:filetime>
  </property>
</Properties>
</file>