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3" w:rsidRPr="007A29AA" w:rsidRDefault="00E87683" w:rsidP="00BD09D6">
      <w:pPr>
        <w:jc w:val="center"/>
        <w:rPr>
          <w:rFonts w:ascii="Times New Roman" w:hAnsi="Times New Roman"/>
          <w:b/>
        </w:rPr>
      </w:pPr>
      <w:r w:rsidRPr="007A29AA"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>XIII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E87683" w:rsidRPr="00777B63" w:rsidRDefault="00E87683" w:rsidP="00E87683">
      <w:pPr>
        <w:jc w:val="center"/>
        <w:rPr>
          <w:rFonts w:ascii="Times New Roman" w:hAnsi="Times New Roman"/>
          <w:b/>
        </w:rPr>
      </w:pPr>
      <w:r w:rsidRPr="00777B63">
        <w:rPr>
          <w:rFonts w:ascii="Times New Roman" w:hAnsi="Times New Roman"/>
          <w:b/>
        </w:rPr>
        <w:t xml:space="preserve">CHECK-LIST VERIFICAÇÃO DE DOCUMENTOS PARA ADESÃO DO MUNICÍPIO / CONSÓRCIO DE MUNICÍPIOS </w:t>
      </w:r>
      <w:r>
        <w:rPr>
          <w:rFonts w:ascii="Times New Roman" w:hAnsi="Times New Roman"/>
          <w:b/>
        </w:rPr>
        <w:t>POR PSA AO SUSAF-PR</w:t>
      </w:r>
    </w:p>
    <w:tbl>
      <w:tblPr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522"/>
        <w:gridCol w:w="559"/>
      </w:tblGrid>
      <w:tr w:rsidR="00E87683" w:rsidTr="00C97EA2">
        <w:tc>
          <w:tcPr>
            <w:tcW w:w="790" w:type="dxa"/>
            <w:shd w:val="clear" w:color="auto" w:fill="D0CECE" w:themeFill="background2" w:themeFillShade="E6"/>
          </w:tcPr>
          <w:p w:rsidR="00E87683" w:rsidRPr="00A35DF3" w:rsidRDefault="00E87683" w:rsidP="00E87683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</w:t>
            </w:r>
            <w:r w:rsidRPr="00A35DF3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6480" w:type="dxa"/>
            <w:shd w:val="clear" w:color="auto" w:fill="D0CECE" w:themeFill="background2" w:themeFillShade="E6"/>
          </w:tcPr>
          <w:p w:rsidR="00E87683" w:rsidRPr="00E87683" w:rsidRDefault="00E87683" w:rsidP="00E87683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b/>
                <w:spacing w:val="-5"/>
                <w:lang w:eastAsia="pt-BR"/>
              </w:rPr>
            </w:pPr>
            <w:r w:rsidRPr="00E87683">
              <w:rPr>
                <w:rFonts w:ascii="Times New Roman" w:hAnsi="Times New Roman"/>
                <w:b/>
                <w:spacing w:val="-5"/>
                <w:lang w:eastAsia="pt-BR"/>
              </w:rPr>
              <w:t>DOCUMENTOS PARA ADESÃO POR PSA  (a indicação de estabelecimento será feita somente após adesão do município)</w:t>
            </w:r>
          </w:p>
        </w:tc>
        <w:tc>
          <w:tcPr>
            <w:tcW w:w="522" w:type="dxa"/>
            <w:shd w:val="clear" w:color="auto" w:fill="D0CECE" w:themeFill="background2" w:themeFillShade="E6"/>
          </w:tcPr>
          <w:p w:rsidR="00E87683" w:rsidRPr="00A35DF3" w:rsidRDefault="00E87683" w:rsidP="00C97EA2">
            <w:pPr>
              <w:jc w:val="center"/>
              <w:rPr>
                <w:b/>
                <w:bCs/>
                <w:sz w:val="20"/>
                <w:u w:val="single"/>
              </w:rPr>
            </w:pPr>
            <w:r w:rsidRPr="00A35DF3">
              <w:rPr>
                <w:b/>
                <w:bCs/>
                <w:sz w:val="20"/>
                <w:u w:val="single"/>
              </w:rPr>
              <w:t>Sim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E87683" w:rsidRPr="00A35DF3" w:rsidRDefault="00E87683" w:rsidP="00C97EA2">
            <w:pPr>
              <w:jc w:val="center"/>
              <w:rPr>
                <w:b/>
                <w:bCs/>
                <w:sz w:val="20"/>
                <w:u w:val="single"/>
              </w:rPr>
            </w:pPr>
            <w:r w:rsidRPr="00A35DF3">
              <w:rPr>
                <w:b/>
                <w:bCs/>
                <w:sz w:val="20"/>
                <w:u w:val="single"/>
              </w:rPr>
              <w:t>Não</w:t>
            </w: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480" w:type="dxa"/>
          </w:tcPr>
          <w:p w:rsidR="00E87683" w:rsidRPr="00777B63" w:rsidRDefault="00157643" w:rsidP="00BF400B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BF400B">
              <w:rPr>
                <w:rFonts w:ascii="Times New Roman" w:hAnsi="Times New Roman"/>
                <w:color w:val="000000" w:themeColor="text1"/>
                <w:spacing w:val="-5"/>
                <w:lang w:eastAsia="pt-BR"/>
              </w:rPr>
              <w:t>Requerimento de adesão</w:t>
            </w:r>
            <w:r w:rsidR="00E87683" w:rsidRPr="00BF400B">
              <w:rPr>
                <w:rFonts w:ascii="Times New Roman" w:hAnsi="Times New Roman"/>
                <w:color w:val="000000" w:themeColor="text1"/>
                <w:spacing w:val="-5"/>
                <w:lang w:eastAsia="pt-BR"/>
              </w:rPr>
              <w:t xml:space="preserve"> </w:t>
            </w:r>
            <w:r w:rsidR="00E87683" w:rsidRPr="00777B63">
              <w:rPr>
                <w:rFonts w:ascii="Times New Roman" w:hAnsi="Times New Roman"/>
                <w:spacing w:val="-5"/>
                <w:lang w:eastAsia="pt-BR"/>
              </w:rPr>
              <w:t>por PSA (anexo X)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480" w:type="dxa"/>
          </w:tcPr>
          <w:p w:rsidR="00E87683" w:rsidRPr="00777B63" w:rsidRDefault="00E87683" w:rsidP="00230B60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>Organograma oficial do Serviço de Inspeção Municipal, destacando sua posição na estrutura organizacion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al do Poder Executivo Municipal</w:t>
            </w:r>
            <w:r w:rsidR="00471746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  <w:r w:rsidR="00471746" w:rsidRPr="0021796F">
              <w:rPr>
                <w:rFonts w:ascii="Times New Roman" w:hAnsi="Times New Roman"/>
                <w:spacing w:val="-5"/>
                <w:lang w:eastAsia="pt-BR"/>
              </w:rPr>
              <w:t>e, em sendo Consórcio de Municípios, cópia do Estatuto, acompanhado do comprovante da publicação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  <w:r w:rsidR="00471746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480" w:type="dxa"/>
          </w:tcPr>
          <w:p w:rsidR="00E87683" w:rsidRPr="00777B63" w:rsidRDefault="00E87683" w:rsidP="00770373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Identificação do SIM </w:t>
            </w:r>
            <w:r w:rsidR="003C0AC1" w:rsidRPr="003C0AC1">
              <w:rPr>
                <w:rFonts w:ascii="Times New Roman" w:hAnsi="Times New Roman"/>
                <w:spacing w:val="-5"/>
                <w:u w:val="single"/>
                <w:lang w:eastAsia="pt-BR"/>
              </w:rPr>
              <w:t>sem</w:t>
            </w:r>
            <w:r w:rsidR="003C0AC1">
              <w:rPr>
                <w:rFonts w:ascii="Times New Roman" w:hAnsi="Times New Roman"/>
                <w:spacing w:val="-5"/>
                <w:lang w:eastAsia="pt-BR"/>
              </w:rPr>
              <w:t xml:space="preserve"> a</w:t>
            </w: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 Relação de estabelecimentos registrados no Serviço de Inspeção Municipal requerentes ao cadastro 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no SUSAF-PR, conforme Anexo II.</w:t>
            </w:r>
            <w:r w:rsidR="00F0147E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480" w:type="dxa"/>
          </w:tcPr>
          <w:p w:rsidR="00E87683" w:rsidRPr="00777B63" w:rsidRDefault="00E87683" w:rsidP="002A7716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>Declaração de posse de estrutura física e corpo funcional regular, com número suficiente de profissionais habilitados ao exercício das atividades de inspeção sanitária para realização dos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  <w:r w:rsidR="00770373">
              <w:rPr>
                <w:rFonts w:ascii="Times New Roman" w:hAnsi="Times New Roman"/>
                <w:spacing w:val="-5"/>
                <w:lang w:eastAsia="pt-BR"/>
              </w:rPr>
              <w:t>respectivos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 xml:space="preserve"> serviços, conforme Anexo III.</w:t>
            </w:r>
            <w:r w:rsidR="00770373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  <w:r w:rsidR="00770373">
              <w:rPr>
                <w:rFonts w:ascii="Times New Roman" w:hAnsi="Times New Roman"/>
                <w:spacing w:val="-5"/>
                <w:lang w:eastAsia="pt-BR"/>
              </w:rPr>
              <w:t>Inserir no processo Portaria/Decreto de nomeação/lotação</w:t>
            </w:r>
            <w:r w:rsidR="00770373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  <w:proofErr w:type="gramStart"/>
            <w:r w:rsidR="00770373">
              <w:rPr>
                <w:rFonts w:ascii="Times New Roman" w:hAnsi="Times New Roman"/>
                <w:spacing w:val="-5"/>
                <w:lang w:eastAsia="pt-BR"/>
              </w:rPr>
              <w:t>d</w:t>
            </w:r>
            <w:bookmarkStart w:id="0" w:name="_GoBack"/>
            <w:bookmarkEnd w:id="0"/>
            <w:r w:rsidR="00770373">
              <w:rPr>
                <w:rFonts w:ascii="Times New Roman" w:hAnsi="Times New Roman"/>
                <w:spacing w:val="-5"/>
                <w:lang w:eastAsia="pt-BR"/>
              </w:rPr>
              <w:t>o(</w:t>
            </w:r>
            <w:proofErr w:type="gramEnd"/>
            <w:r w:rsidR="00770373">
              <w:rPr>
                <w:rFonts w:ascii="Times New Roman" w:hAnsi="Times New Roman"/>
                <w:spacing w:val="-5"/>
                <w:lang w:eastAsia="pt-BR"/>
              </w:rPr>
              <w:t>s) médico(s) veterinário(s) e/ou auxiliares técnico ou administrativo</w:t>
            </w:r>
            <w:r w:rsidR="00770373">
              <w:rPr>
                <w:rFonts w:ascii="Times New Roman" w:hAnsi="Times New Roman"/>
                <w:spacing w:val="-5"/>
                <w:lang w:eastAsia="pt-BR"/>
              </w:rPr>
              <w:t>. Comprovar publicação.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480" w:type="dxa"/>
          </w:tcPr>
          <w:p w:rsidR="00E87683" w:rsidRPr="002B7BF8" w:rsidRDefault="00E87683" w:rsidP="00C97EA2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>Apresentação do Termo de Responsabilidade do Médico Veterinário coordenador do SIM, conforme Anexo IV.</w:t>
            </w:r>
            <w:r w:rsidR="00507B9A" w:rsidRPr="002B7BF8">
              <w:rPr>
                <w:rFonts w:ascii="Times New Roman" w:hAnsi="Times New Roman"/>
                <w:spacing w:val="-5"/>
                <w:lang w:eastAsia="pt-BR"/>
              </w:rPr>
              <w:t xml:space="preserve"> Inserir no processo a Portaria/Decreto que designa o médico veterinário como coordenador do SIM.</w:t>
            </w:r>
            <w:r w:rsidR="00613601" w:rsidRPr="002B7BF8">
              <w:rPr>
                <w:rFonts w:ascii="Times New Roman" w:hAnsi="Times New Roman"/>
                <w:spacing w:val="-5"/>
                <w:lang w:eastAsia="pt-BR"/>
              </w:rPr>
              <w:t xml:space="preserve"> Comprovar publicação.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  <w:shd w:val="clear" w:color="auto" w:fill="D0CECE" w:themeFill="background2" w:themeFillShade="E6"/>
          </w:tcPr>
          <w:p w:rsidR="00E87683" w:rsidRPr="00777B63" w:rsidRDefault="00E87683" w:rsidP="00C97EA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</w:t>
            </w:r>
            <w:r w:rsidRPr="00777B63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6480" w:type="dxa"/>
            <w:shd w:val="clear" w:color="auto" w:fill="D0CECE" w:themeFill="background2" w:themeFillShade="E6"/>
          </w:tcPr>
          <w:p w:rsidR="00E87683" w:rsidRPr="002B7BF8" w:rsidRDefault="00E87683" w:rsidP="00C97EA2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b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b/>
                <w:sz w:val="20"/>
              </w:rPr>
              <w:t>DOCUMENTOS PARA INDICAÇÃO DE ESTABELECIMENTOS AO SUSAF-PR POR MEIO DO PSA.</w:t>
            </w:r>
          </w:p>
        </w:tc>
        <w:tc>
          <w:tcPr>
            <w:tcW w:w="522" w:type="dxa"/>
            <w:shd w:val="clear" w:color="auto" w:fill="D0CECE" w:themeFill="background2" w:themeFillShade="E6"/>
          </w:tcPr>
          <w:p w:rsidR="00E87683" w:rsidRPr="00777B63" w:rsidRDefault="00E87683" w:rsidP="00C97EA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Sim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E87683" w:rsidRPr="00777B63" w:rsidRDefault="00E87683" w:rsidP="00C97EA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Não</w:t>
            </w: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480" w:type="dxa"/>
          </w:tcPr>
          <w:p w:rsidR="00E87683" w:rsidRPr="002B7BF8" w:rsidRDefault="00E87683" w:rsidP="00C97EA2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Plano de trabalho anual com cronograma detalhado das atividades de inspeção e fiscalização, coleta de amostras fiscais para análises microbiológicas e físico-químicas de água e produtos, e verificação oficial de, no mínimo, os seguintes 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PAC</w:t>
            </w:r>
            <w:r w:rsidRPr="002B7BF8">
              <w:rPr>
                <w:rFonts w:ascii="Times New Roman" w:hAnsi="Times New Roman"/>
                <w:spacing w:val="-5"/>
                <w:lang w:eastAsia="pt-BR"/>
              </w:rPr>
              <w:t>: Manutenção; Água de Abastecimento; Controle Integrado de Pragas; Higiene Industrial e Operacional; Higiene e Hábitos Higiênicos dos Funcionários; Controle da matéria-prima, ingrediente e material de embalagem; Controle de Temperaturas; e Análises laboratoriais (Programas de autocontrole), conforme Anexo VI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rPr>
          <w:trHeight w:val="364"/>
        </w:trPr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480" w:type="dxa"/>
          </w:tcPr>
          <w:p w:rsidR="00E87683" w:rsidRPr="002B7BF8" w:rsidRDefault="00E87683" w:rsidP="00C97EA2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>Termo de Atendimento ao PSA, Anexo XI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E87683" w:rsidTr="00C97EA2">
        <w:tc>
          <w:tcPr>
            <w:tcW w:w="790" w:type="dxa"/>
          </w:tcPr>
          <w:p w:rsidR="00E87683" w:rsidRDefault="00E87683" w:rsidP="00C97EA2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480" w:type="dxa"/>
          </w:tcPr>
          <w:p w:rsidR="00E87683" w:rsidRPr="002B7BF8" w:rsidRDefault="00E87683" w:rsidP="00C97EA2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>Termo de Conformidade do Estabelecimento, Anexo XII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</w:p>
        </w:tc>
        <w:tc>
          <w:tcPr>
            <w:tcW w:w="522" w:type="dxa"/>
          </w:tcPr>
          <w:p w:rsidR="00E87683" w:rsidRDefault="00E87683" w:rsidP="00C97EA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E87683" w:rsidRDefault="00E87683" w:rsidP="00C97EA2">
            <w:pPr>
              <w:rPr>
                <w:sz w:val="20"/>
              </w:rPr>
            </w:pPr>
          </w:p>
        </w:tc>
      </w:tr>
      <w:tr w:rsidR="003C0AC1" w:rsidTr="00C97EA2">
        <w:tc>
          <w:tcPr>
            <w:tcW w:w="790" w:type="dxa"/>
          </w:tcPr>
          <w:p w:rsidR="003C0AC1" w:rsidRDefault="003C0AC1" w:rsidP="003C0AC1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480" w:type="dxa"/>
          </w:tcPr>
          <w:p w:rsidR="003C0AC1" w:rsidRPr="002B7BF8" w:rsidRDefault="003C0AC1" w:rsidP="003C0AC1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>Havendo alterações nos anexos referentes aos: procedimentos de registro de estabelecimento, registro de produto, coleta de amostra fiscal, verificação oficial dos programas de autocontrole, inspeção e fiscalização, e processos administrativos, estes deverão estar inseridos no processo na etapa de indicação de estabelecimento.</w:t>
            </w:r>
          </w:p>
        </w:tc>
        <w:tc>
          <w:tcPr>
            <w:tcW w:w="522" w:type="dxa"/>
          </w:tcPr>
          <w:p w:rsidR="003C0AC1" w:rsidRDefault="003C0AC1" w:rsidP="003C0AC1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3C0AC1" w:rsidRDefault="003C0AC1" w:rsidP="003C0AC1">
            <w:pPr>
              <w:rPr>
                <w:sz w:val="20"/>
              </w:rPr>
            </w:pPr>
          </w:p>
        </w:tc>
      </w:tr>
      <w:tr w:rsidR="003C0AC1" w:rsidTr="00C97EA2">
        <w:tc>
          <w:tcPr>
            <w:tcW w:w="790" w:type="dxa"/>
          </w:tcPr>
          <w:p w:rsidR="003C0AC1" w:rsidRDefault="003C0AC1" w:rsidP="003C0AC1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480" w:type="dxa"/>
          </w:tcPr>
          <w:p w:rsidR="003C0AC1" w:rsidRPr="002B7BF8" w:rsidRDefault="003C0AC1" w:rsidP="003C0AC1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>Termo de Responsabilidade do responsável técnico do estabel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ecimento requerente (anexo VII).</w:t>
            </w:r>
          </w:p>
        </w:tc>
        <w:tc>
          <w:tcPr>
            <w:tcW w:w="522" w:type="dxa"/>
          </w:tcPr>
          <w:p w:rsidR="003C0AC1" w:rsidRDefault="003C0AC1" w:rsidP="003C0AC1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3C0AC1" w:rsidRDefault="003C0AC1" w:rsidP="003C0AC1">
            <w:pPr>
              <w:rPr>
                <w:sz w:val="20"/>
              </w:rPr>
            </w:pPr>
          </w:p>
        </w:tc>
      </w:tr>
      <w:tr w:rsidR="003C0AC1" w:rsidTr="00C97EA2">
        <w:tc>
          <w:tcPr>
            <w:tcW w:w="790" w:type="dxa"/>
          </w:tcPr>
          <w:p w:rsidR="003C0AC1" w:rsidRDefault="003C0AC1" w:rsidP="003C0AC1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480" w:type="dxa"/>
          </w:tcPr>
          <w:p w:rsidR="003C0AC1" w:rsidRPr="002B7BF8" w:rsidRDefault="003C0AC1" w:rsidP="003C0AC1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Laudo Técnico Sanitário de avaliação das condições do estabelecimento (anexo 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VIII).</w:t>
            </w:r>
          </w:p>
        </w:tc>
        <w:tc>
          <w:tcPr>
            <w:tcW w:w="522" w:type="dxa"/>
          </w:tcPr>
          <w:p w:rsidR="003C0AC1" w:rsidRDefault="003C0AC1" w:rsidP="003C0AC1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3C0AC1" w:rsidRDefault="003C0AC1" w:rsidP="003C0AC1">
            <w:pPr>
              <w:rPr>
                <w:sz w:val="20"/>
              </w:rPr>
            </w:pPr>
          </w:p>
        </w:tc>
      </w:tr>
      <w:tr w:rsidR="003C0AC1" w:rsidTr="00C97EA2">
        <w:tc>
          <w:tcPr>
            <w:tcW w:w="790" w:type="dxa"/>
          </w:tcPr>
          <w:p w:rsidR="003C0AC1" w:rsidRDefault="003C0AC1" w:rsidP="003C0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2.7</w:t>
            </w:r>
          </w:p>
        </w:tc>
        <w:tc>
          <w:tcPr>
            <w:tcW w:w="6480" w:type="dxa"/>
          </w:tcPr>
          <w:p w:rsidR="003C0AC1" w:rsidRPr="002B7BF8" w:rsidRDefault="003C0AC1" w:rsidP="003C0AC1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Identificação do SIM </w:t>
            </w:r>
            <w:r w:rsidRPr="002B7BF8">
              <w:rPr>
                <w:rFonts w:ascii="Times New Roman" w:hAnsi="Times New Roman"/>
                <w:spacing w:val="-5"/>
                <w:u w:val="single"/>
                <w:lang w:eastAsia="pt-BR"/>
              </w:rPr>
              <w:t>com</w:t>
            </w: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 Relação de estabelecimentos registrados no Serviço de Inspeção Municipal requerentes ao cadastro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 xml:space="preserve"> no SUSAF-PR, conforme Anexo II</w:t>
            </w:r>
            <w:r w:rsidRPr="002B7BF8">
              <w:rPr>
                <w:rFonts w:ascii="Times New Roman" w:hAnsi="Times New Roman"/>
                <w:spacing w:val="-5"/>
                <w:lang w:eastAsia="pt-BR"/>
              </w:rPr>
              <w:t xml:space="preserve"> (Atualizado)</w:t>
            </w:r>
            <w:r w:rsidR="002B7BF8">
              <w:rPr>
                <w:rFonts w:ascii="Times New Roman" w:hAnsi="Times New Roman"/>
                <w:spacing w:val="-5"/>
                <w:lang w:eastAsia="pt-BR"/>
              </w:rPr>
              <w:t>.</w:t>
            </w:r>
          </w:p>
        </w:tc>
        <w:tc>
          <w:tcPr>
            <w:tcW w:w="522" w:type="dxa"/>
          </w:tcPr>
          <w:p w:rsidR="003C0AC1" w:rsidRDefault="003C0AC1" w:rsidP="003C0AC1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3C0AC1" w:rsidRDefault="003C0AC1" w:rsidP="003C0AC1">
            <w:pPr>
              <w:rPr>
                <w:sz w:val="20"/>
              </w:rPr>
            </w:pPr>
          </w:p>
        </w:tc>
      </w:tr>
    </w:tbl>
    <w:p w:rsidR="00E87683" w:rsidRPr="00E87683" w:rsidRDefault="00E87683" w:rsidP="00E87683">
      <w:pPr>
        <w:jc w:val="both"/>
        <w:rPr>
          <w:rFonts w:ascii="Times New Roman" w:hAnsi="Times New Roman"/>
          <w:b/>
        </w:rPr>
      </w:pPr>
      <w:proofErr w:type="gramStart"/>
      <w:r w:rsidRPr="00E87683">
        <w:rPr>
          <w:rFonts w:ascii="Times New Roman" w:hAnsi="Times New Roman"/>
          <w:b/>
          <w:sz w:val="20"/>
        </w:rPr>
        <w:t>( )</w:t>
      </w:r>
      <w:proofErr w:type="gramEnd"/>
      <w:r w:rsidRPr="00E87683">
        <w:rPr>
          <w:rFonts w:ascii="Times New Roman" w:hAnsi="Times New Roman"/>
          <w:b/>
          <w:sz w:val="20"/>
        </w:rPr>
        <w:t xml:space="preserve"> SIM (  ) NÃO Processo de solicitação de adesão em conformidade com a Portaria n°  </w:t>
      </w:r>
      <w:r w:rsidR="00171CBF">
        <w:rPr>
          <w:rFonts w:ascii="Times New Roman" w:hAnsi="Times New Roman"/>
          <w:b/>
          <w:sz w:val="20"/>
        </w:rPr>
        <w:t>74</w:t>
      </w:r>
      <w:r w:rsidRPr="00E87683">
        <w:rPr>
          <w:rFonts w:ascii="Times New Roman" w:hAnsi="Times New Roman"/>
          <w:b/>
          <w:sz w:val="20"/>
        </w:rPr>
        <w:t>/23.</w:t>
      </w:r>
    </w:p>
    <w:p w:rsidR="00E87683" w:rsidRPr="00E87683" w:rsidRDefault="00E87683" w:rsidP="00E87683">
      <w:pPr>
        <w:jc w:val="both"/>
        <w:rPr>
          <w:rFonts w:ascii="Times New Roman" w:hAnsi="Times New Roman"/>
          <w:b/>
          <w:sz w:val="20"/>
        </w:rPr>
      </w:pPr>
      <w:proofErr w:type="gramStart"/>
      <w:r w:rsidRPr="00E87683">
        <w:rPr>
          <w:rFonts w:ascii="Times New Roman" w:hAnsi="Times New Roman"/>
          <w:b/>
          <w:sz w:val="20"/>
        </w:rPr>
        <w:t>( )</w:t>
      </w:r>
      <w:proofErr w:type="gramEnd"/>
      <w:r w:rsidRPr="00E87683">
        <w:rPr>
          <w:rFonts w:ascii="Times New Roman" w:hAnsi="Times New Roman"/>
          <w:b/>
          <w:sz w:val="20"/>
        </w:rPr>
        <w:t xml:space="preserve"> SIM (  ) NÃO Processo de indicação de estabelecimentos em conformidade com a Portaria n°  </w:t>
      </w:r>
      <w:r w:rsidR="00171CBF">
        <w:rPr>
          <w:rFonts w:ascii="Times New Roman" w:hAnsi="Times New Roman"/>
          <w:b/>
          <w:sz w:val="20"/>
        </w:rPr>
        <w:t>74</w:t>
      </w:r>
      <w:r w:rsidRPr="00E87683">
        <w:rPr>
          <w:rFonts w:ascii="Times New Roman" w:hAnsi="Times New Roman"/>
          <w:b/>
          <w:sz w:val="20"/>
        </w:rPr>
        <w:t>/23.</w:t>
      </w:r>
    </w:p>
    <w:p w:rsidR="008C3C52" w:rsidRDefault="00E87683" w:rsidP="00E87683">
      <w:pPr>
        <w:jc w:val="center"/>
      </w:pPr>
      <w:r>
        <w:t>______________________________</w:t>
      </w:r>
    </w:p>
    <w:p w:rsidR="00E87683" w:rsidRDefault="00E87683" w:rsidP="00E87683">
      <w:pPr>
        <w:jc w:val="center"/>
      </w:pPr>
      <w:r>
        <w:t>Gerente Regional da ADAPAR</w:t>
      </w:r>
    </w:p>
    <w:p w:rsidR="00E87683" w:rsidRDefault="00E87683" w:rsidP="00E87683">
      <w:pPr>
        <w:jc w:val="center"/>
      </w:pPr>
      <w:proofErr w:type="gramStart"/>
      <w:r>
        <w:t>assinatura</w:t>
      </w:r>
      <w:proofErr w:type="gramEnd"/>
    </w:p>
    <w:sectPr w:rsidR="00E8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57643"/>
    <w:rsid w:val="001668F8"/>
    <w:rsid w:val="00171CBF"/>
    <w:rsid w:val="001B3523"/>
    <w:rsid w:val="001C04FD"/>
    <w:rsid w:val="001C16E9"/>
    <w:rsid w:val="001C4B85"/>
    <w:rsid w:val="001D5A74"/>
    <w:rsid w:val="001D7965"/>
    <w:rsid w:val="00200A8A"/>
    <w:rsid w:val="002108CE"/>
    <w:rsid w:val="0021796F"/>
    <w:rsid w:val="00230B60"/>
    <w:rsid w:val="00235E23"/>
    <w:rsid w:val="00260300"/>
    <w:rsid w:val="002A5B45"/>
    <w:rsid w:val="002A7716"/>
    <w:rsid w:val="002B7BF8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0AC1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71746"/>
    <w:rsid w:val="00490284"/>
    <w:rsid w:val="00492C38"/>
    <w:rsid w:val="00493EE9"/>
    <w:rsid w:val="004948D1"/>
    <w:rsid w:val="004B2808"/>
    <w:rsid w:val="004C00FB"/>
    <w:rsid w:val="004C1C56"/>
    <w:rsid w:val="004C490A"/>
    <w:rsid w:val="00507B9A"/>
    <w:rsid w:val="005160F9"/>
    <w:rsid w:val="00564F46"/>
    <w:rsid w:val="005A678F"/>
    <w:rsid w:val="005A6AA6"/>
    <w:rsid w:val="005A7054"/>
    <w:rsid w:val="005B0AE2"/>
    <w:rsid w:val="005B2CF5"/>
    <w:rsid w:val="005D2F92"/>
    <w:rsid w:val="005D3D4D"/>
    <w:rsid w:val="005E2ED6"/>
    <w:rsid w:val="00610916"/>
    <w:rsid w:val="00613601"/>
    <w:rsid w:val="00630B57"/>
    <w:rsid w:val="006368FC"/>
    <w:rsid w:val="00640909"/>
    <w:rsid w:val="006754FB"/>
    <w:rsid w:val="0068175B"/>
    <w:rsid w:val="00686245"/>
    <w:rsid w:val="00697BB4"/>
    <w:rsid w:val="006A2D06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0373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D4C42"/>
    <w:rsid w:val="009E5573"/>
    <w:rsid w:val="00A30DDD"/>
    <w:rsid w:val="00A35DF3"/>
    <w:rsid w:val="00A3747B"/>
    <w:rsid w:val="00A60955"/>
    <w:rsid w:val="00A70CE8"/>
    <w:rsid w:val="00A717B0"/>
    <w:rsid w:val="00A765BD"/>
    <w:rsid w:val="00A768D6"/>
    <w:rsid w:val="00AC4086"/>
    <w:rsid w:val="00AC64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BF400B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15FB9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DF47E0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0147E"/>
    <w:rsid w:val="00F13804"/>
    <w:rsid w:val="00F168D2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369D"/>
    <w:rsid w:val="00FB547A"/>
    <w:rsid w:val="00FB701D"/>
    <w:rsid w:val="00FF203A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5039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A83D-6CAE-4DF3-9895-993ECEB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6</cp:revision>
  <cp:lastPrinted>2020-02-13T12:07:00Z</cp:lastPrinted>
  <dcterms:created xsi:type="dcterms:W3CDTF">2023-06-13T10:24:00Z</dcterms:created>
  <dcterms:modified xsi:type="dcterms:W3CDTF">2023-06-13T11:00:00Z</dcterms:modified>
</cp:coreProperties>
</file>