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C2" w:rsidRPr="00AC10C2" w:rsidRDefault="00AC10C2" w:rsidP="00AC10C2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AC10C2">
        <w:rPr>
          <w:rFonts w:ascii="Times New Roman" w:eastAsia="Calibri" w:hAnsi="Times New Roman" w:cs="Times New Roman"/>
          <w:b/>
        </w:rPr>
        <w:t>ANEXO VII</w:t>
      </w:r>
    </w:p>
    <w:p w:rsidR="00AC10C2" w:rsidRPr="00AC10C2" w:rsidRDefault="00AC10C2" w:rsidP="00AC10C2">
      <w:pPr>
        <w:spacing w:line="25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AC10C2">
        <w:rPr>
          <w:rFonts w:ascii="Times New Roman" w:eastAsia="Calibri" w:hAnsi="Times New Roman" w:cs="Times New Roman"/>
          <w:b/>
          <w:u w:val="single"/>
        </w:rPr>
        <w:t>LAUDO TÉCNICO SANITÁRIO PARA AVALIAÇÃO DAS CONDIÇÕES DO ESTABELECIMENTO PARA INDICAÇÃO AO SUASA-SUSAF-PR</w:t>
      </w:r>
      <w:r w:rsidRPr="00AC10C2">
        <w:rPr>
          <w:rFonts w:ascii="Times New Roman" w:eastAsia="Calibri" w:hAnsi="Times New Roman" w:cs="Times New Roman"/>
          <w:b/>
          <w:u w:val="single"/>
          <w:vertAlign w:val="superscript"/>
        </w:rPr>
        <w:footnoteReference w:id="1"/>
      </w:r>
    </w:p>
    <w:p w:rsidR="00AC10C2" w:rsidRPr="00AC10C2" w:rsidRDefault="00AC10C2" w:rsidP="00AC10C2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Arial" w:hAnsi="Calibri Light" w:cs="Calibri Light"/>
          <w:kern w:val="2"/>
          <w:lang w:eastAsia="zh-CN" w:bidi="pt-BR"/>
        </w:rPr>
      </w:pPr>
    </w:p>
    <w:p w:rsidR="00AC10C2" w:rsidRPr="00AC10C2" w:rsidRDefault="00AC10C2" w:rsidP="00AC10C2">
      <w:pPr>
        <w:shd w:val="clear" w:color="auto" w:fill="FFFFFF" w:themeFill="background1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C10C2">
        <w:rPr>
          <w:rFonts w:ascii="Arial" w:eastAsia="Calibri" w:hAnsi="Arial" w:cs="Arial"/>
          <w:sz w:val="20"/>
          <w:szCs w:val="20"/>
        </w:rPr>
        <w:t>Nome do Estabelecimento/ Nome Empresarial:</w:t>
      </w:r>
    </w:p>
    <w:p w:rsidR="00AC10C2" w:rsidRPr="00AC10C2" w:rsidRDefault="00AC10C2" w:rsidP="00AC10C2">
      <w:pPr>
        <w:shd w:val="clear" w:color="auto" w:fill="FFFFFF" w:themeFill="background1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C10C2">
        <w:rPr>
          <w:rFonts w:ascii="Arial" w:eastAsia="Calibri" w:hAnsi="Arial" w:cs="Arial"/>
          <w:sz w:val="20"/>
          <w:szCs w:val="20"/>
        </w:rPr>
        <w:t>CNPJ/CPF:</w:t>
      </w:r>
    </w:p>
    <w:p w:rsidR="00AC10C2" w:rsidRPr="00AC10C2" w:rsidRDefault="00AC10C2" w:rsidP="00AC10C2">
      <w:pPr>
        <w:shd w:val="clear" w:color="auto" w:fill="FFFFFF" w:themeFill="background1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C10C2">
        <w:rPr>
          <w:rFonts w:ascii="Arial" w:eastAsia="Calibri" w:hAnsi="Arial" w:cs="Arial"/>
          <w:sz w:val="20"/>
          <w:szCs w:val="20"/>
        </w:rPr>
        <w:t>Número de Registro no SIM:</w:t>
      </w:r>
    </w:p>
    <w:p w:rsidR="00AC10C2" w:rsidRPr="00AC10C2" w:rsidRDefault="00AC10C2" w:rsidP="00AC10C2">
      <w:pPr>
        <w:shd w:val="clear" w:color="auto" w:fill="FFFFFF" w:themeFill="background1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C10C2">
        <w:rPr>
          <w:rFonts w:ascii="Arial" w:eastAsia="Calibri" w:hAnsi="Arial" w:cs="Arial"/>
          <w:sz w:val="20"/>
          <w:szCs w:val="20"/>
        </w:rPr>
        <w:t>Classificação:</w:t>
      </w:r>
    </w:p>
    <w:p w:rsidR="00AC10C2" w:rsidRPr="00AC10C2" w:rsidRDefault="00AC10C2" w:rsidP="00AC10C2">
      <w:pPr>
        <w:shd w:val="clear" w:color="auto" w:fill="FFFFFF" w:themeFill="background1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C10C2">
        <w:rPr>
          <w:rFonts w:ascii="Arial" w:eastAsia="Calibri" w:hAnsi="Arial" w:cs="Arial"/>
          <w:sz w:val="20"/>
          <w:szCs w:val="20"/>
        </w:rPr>
        <w:t xml:space="preserve">Endereço completo: </w:t>
      </w:r>
    </w:p>
    <w:p w:rsidR="00AC10C2" w:rsidRPr="00AC10C2" w:rsidRDefault="00AC10C2" w:rsidP="00AC10C2">
      <w:pPr>
        <w:widowControl w:val="0"/>
        <w:suppressAutoHyphens/>
        <w:autoSpaceDE w:val="0"/>
        <w:spacing w:after="0" w:line="276" w:lineRule="auto"/>
        <w:jc w:val="center"/>
        <w:rPr>
          <w:rFonts w:ascii="Calibri Light" w:eastAsia="Arial" w:hAnsi="Calibri Light" w:cs="Calibri Light"/>
          <w:kern w:val="2"/>
          <w:lang w:eastAsia="zh-CN" w:bidi="pt-BR"/>
        </w:rPr>
      </w:pPr>
    </w:p>
    <w:p w:rsidR="00AC10C2" w:rsidRPr="00AC10C2" w:rsidRDefault="00AC10C2" w:rsidP="00AC10C2">
      <w:pPr>
        <w:shd w:val="clear" w:color="auto" w:fill="FFFFFF" w:themeFill="background1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C10C2">
        <w:rPr>
          <w:rFonts w:ascii="Arial" w:eastAsia="Calibri" w:hAnsi="Arial" w:cs="Arial"/>
          <w:sz w:val="20"/>
          <w:szCs w:val="20"/>
        </w:rPr>
        <w:br/>
        <w:t xml:space="preserve">1. O estabelecimento possui registro dos produtos no SIM? </w:t>
      </w:r>
    </w:p>
    <w:p w:rsidR="00AC10C2" w:rsidRPr="00AC10C2" w:rsidRDefault="00AC10C2" w:rsidP="00AC10C2">
      <w:pPr>
        <w:shd w:val="clear" w:color="auto" w:fill="FFFFFF" w:themeFill="background1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AC10C2" w:rsidRPr="00AC10C2" w:rsidRDefault="00AC10C2" w:rsidP="00AC10C2">
      <w:pPr>
        <w:shd w:val="clear" w:color="auto" w:fill="FFFFFF" w:themeFill="background1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C10C2">
        <w:rPr>
          <w:rFonts w:ascii="Arial" w:eastAsia="Calibri" w:hAnsi="Arial" w:cs="Arial"/>
          <w:sz w:val="20"/>
          <w:szCs w:val="20"/>
        </w:rPr>
        <w:t>2. As matérias-primas de origem animal são oriundas da propriedade onde a unidade de processamento está localizada e/ou possuem origem determinada?</w:t>
      </w:r>
    </w:p>
    <w:p w:rsidR="00AC10C2" w:rsidRPr="00AC10C2" w:rsidRDefault="00AC10C2" w:rsidP="00AC10C2">
      <w:pPr>
        <w:shd w:val="clear" w:color="auto" w:fill="FFFFFF" w:themeFill="background1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AC10C2" w:rsidRPr="00AC10C2" w:rsidRDefault="00AC10C2" w:rsidP="00AC10C2">
      <w:pPr>
        <w:shd w:val="clear" w:color="auto" w:fill="FFFFFF" w:themeFill="background1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C10C2">
        <w:rPr>
          <w:rFonts w:ascii="Arial" w:eastAsia="Calibri" w:hAnsi="Arial" w:cs="Arial"/>
          <w:sz w:val="20"/>
          <w:szCs w:val="20"/>
        </w:rPr>
        <w:t>3. O processo produtivo adota o programa de autocontrole  com o propósito de garantir a produção de alimentos seguros ao consumidor?</w:t>
      </w:r>
    </w:p>
    <w:p w:rsidR="00AC10C2" w:rsidRPr="00AC10C2" w:rsidRDefault="00AC10C2" w:rsidP="00AC10C2">
      <w:pPr>
        <w:shd w:val="clear" w:color="auto" w:fill="FFFFFF" w:themeFill="background1"/>
        <w:spacing w:after="0" w:line="276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AC10C2">
        <w:rPr>
          <w:rFonts w:ascii="Arial" w:eastAsia="Calibri" w:hAnsi="Arial" w:cs="Arial"/>
          <w:sz w:val="20"/>
          <w:szCs w:val="20"/>
        </w:rPr>
        <w:t>No mínimo: programa de limpeza e desinfecção, higiene e hábitos higiênicos e saúde dos manipuladores, controle integrado de pragas, análises laboratoriais, manutenção das instalações e equipamentos, controle de potabilidade da água, controle de temperatura e seleção das matérias-primas, ingredientes e embalagens.</w:t>
      </w:r>
    </w:p>
    <w:p w:rsidR="00AC10C2" w:rsidRPr="00AC10C2" w:rsidRDefault="00AC10C2" w:rsidP="00AC10C2">
      <w:pPr>
        <w:shd w:val="clear" w:color="auto" w:fill="FFFFFF" w:themeFill="background1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C10C2">
        <w:rPr>
          <w:rFonts w:ascii="Arial" w:eastAsia="Calibri" w:hAnsi="Arial" w:cs="Arial"/>
          <w:sz w:val="20"/>
          <w:szCs w:val="20"/>
        </w:rPr>
        <w:br/>
        <w:t xml:space="preserve">4.Todos os manipuladores possuem certificado de boas práticas na fabricação? </w:t>
      </w:r>
      <w:r w:rsidRPr="00AC10C2">
        <w:rPr>
          <w:rFonts w:ascii="Arial" w:eastAsia="Calibri" w:hAnsi="Arial" w:cs="Arial"/>
          <w:sz w:val="20"/>
          <w:szCs w:val="20"/>
        </w:rPr>
        <w:br/>
      </w:r>
    </w:p>
    <w:p w:rsidR="00AC10C2" w:rsidRPr="00AC10C2" w:rsidRDefault="00AC10C2" w:rsidP="00AC10C2">
      <w:pPr>
        <w:shd w:val="clear" w:color="auto" w:fill="FFFFFF" w:themeFill="background1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C10C2">
        <w:rPr>
          <w:rFonts w:ascii="Arial" w:eastAsia="Calibri" w:hAnsi="Arial" w:cs="Arial"/>
          <w:sz w:val="20"/>
          <w:szCs w:val="20"/>
        </w:rPr>
        <w:t>5. As unidades de produção de matéria-prima e as unidades de origem determinada adotam boas práticas agropecuárias (BPA) na produção?</w:t>
      </w:r>
    </w:p>
    <w:p w:rsidR="00AC10C2" w:rsidRPr="00AC10C2" w:rsidRDefault="00AC10C2" w:rsidP="00AC10C2">
      <w:pPr>
        <w:shd w:val="clear" w:color="auto" w:fill="FFFFFF" w:themeFill="background1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AC10C2" w:rsidRPr="00AC10C2" w:rsidRDefault="00AC10C2" w:rsidP="00AC10C2">
      <w:pPr>
        <w:shd w:val="clear" w:color="auto" w:fill="FFFFFF" w:themeFill="background1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C10C2">
        <w:rPr>
          <w:rFonts w:ascii="Arial" w:eastAsia="Calibri" w:hAnsi="Arial" w:cs="Arial"/>
          <w:sz w:val="20"/>
          <w:szCs w:val="20"/>
        </w:rPr>
        <w:t>6.Os produtos não regulamentados (sem RTIQ) estão devidamente aprovados pelo Responsável pelo Serviço de Inspeção Municipal?</w:t>
      </w:r>
    </w:p>
    <w:p w:rsidR="00AC10C2" w:rsidRPr="00AC10C2" w:rsidRDefault="00AC10C2" w:rsidP="00AC10C2">
      <w:pPr>
        <w:shd w:val="clear" w:color="auto" w:fill="FFFFFF" w:themeFill="background1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AC10C2" w:rsidRPr="00AC10C2" w:rsidRDefault="00AC10C2" w:rsidP="00AC10C2">
      <w:pPr>
        <w:shd w:val="clear" w:color="auto" w:fill="FFFFFF" w:themeFill="background1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AC10C2" w:rsidRPr="00AC10C2" w:rsidRDefault="00AC10C2" w:rsidP="00AC10C2">
      <w:pPr>
        <w:shd w:val="clear" w:color="auto" w:fill="FFFFFF" w:themeFill="background1"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C10C2">
        <w:rPr>
          <w:rFonts w:ascii="Arial" w:eastAsia="Calibri" w:hAnsi="Arial" w:cs="Arial"/>
          <w:sz w:val="20"/>
          <w:szCs w:val="20"/>
        </w:rPr>
        <w:t xml:space="preserve">                                                       </w:t>
      </w:r>
      <w:r w:rsidRPr="00AC10C2">
        <w:rPr>
          <w:rFonts w:ascii="Arial" w:eastAsia="Calibri" w:hAnsi="Arial" w:cs="Arial"/>
          <w:b/>
          <w:sz w:val="20"/>
          <w:szCs w:val="20"/>
        </w:rPr>
        <w:t>PARECER CONCLUSIVO</w:t>
      </w:r>
    </w:p>
    <w:p w:rsidR="00AC10C2" w:rsidRPr="00AC10C2" w:rsidRDefault="00AC10C2" w:rsidP="00AC10C2">
      <w:pPr>
        <w:suppressAutoHyphens/>
        <w:spacing w:before="280" w:after="28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C10C2">
        <w:rPr>
          <w:rFonts w:ascii="Arial" w:eastAsia="Calibri" w:hAnsi="Arial" w:cs="Arial"/>
          <w:sz w:val="20"/>
          <w:szCs w:val="20"/>
        </w:rPr>
        <w:lastRenderedPageBreak/>
        <w:t xml:space="preserve">        Atesto para os devidos fins que o estabelecimento acima relacionado apresenta condições técnicas e higiênico-sanitárias de instalações satisfatórias para compor a lista de estabelecimentos deste serviço de inspeção a integrar o SUASA-SUSAF-PR.</w:t>
      </w:r>
    </w:p>
    <w:p w:rsidR="00AC10C2" w:rsidRPr="00AC10C2" w:rsidRDefault="00AC10C2" w:rsidP="00AC10C2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C10C2" w:rsidRPr="00AC10C2" w:rsidRDefault="00AC10C2" w:rsidP="00AC10C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zh-CN" w:bidi="pt-BR"/>
        </w:rPr>
      </w:pPr>
      <w:r w:rsidRPr="00AC10C2">
        <w:rPr>
          <w:rFonts w:ascii="Times New Roman" w:eastAsia="Arial" w:hAnsi="Times New Roman" w:cs="Times New Roman"/>
          <w:kern w:val="2"/>
          <w:sz w:val="24"/>
          <w:szCs w:val="24"/>
          <w:lang w:eastAsia="zh-CN" w:bidi="pt-BR"/>
        </w:rPr>
        <w:t>Local e Data</w:t>
      </w:r>
    </w:p>
    <w:p w:rsidR="00AC10C2" w:rsidRPr="00AC10C2" w:rsidRDefault="00AC10C2" w:rsidP="00AC10C2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Arial" w:hAnsi="Calibri Light" w:cs="Calibri Light"/>
          <w:kern w:val="2"/>
          <w:lang w:eastAsia="zh-CN" w:bidi="pt-BR"/>
        </w:rPr>
      </w:pPr>
      <w:r w:rsidRPr="00AC10C2">
        <w:rPr>
          <w:rFonts w:ascii="Calibri Light" w:eastAsia="Arial" w:hAnsi="Calibri Light" w:cs="Calibri Light"/>
          <w:kern w:val="2"/>
          <w:lang w:eastAsia="zh-CN" w:bidi="pt-BR"/>
        </w:rPr>
        <w:t xml:space="preserve">                                                           </w:t>
      </w:r>
    </w:p>
    <w:p w:rsidR="00AC10C2" w:rsidRPr="00AC10C2" w:rsidRDefault="00AC10C2" w:rsidP="00AC10C2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Arial" w:hAnsi="Calibri Light" w:cs="Calibri Light"/>
          <w:kern w:val="2"/>
          <w:lang w:eastAsia="zh-CN" w:bidi="pt-BR"/>
        </w:rPr>
      </w:pPr>
    </w:p>
    <w:p w:rsidR="00AC10C2" w:rsidRPr="00AC10C2" w:rsidRDefault="00AC10C2" w:rsidP="00AC10C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AC10C2">
        <w:rPr>
          <w:rFonts w:ascii="Arial" w:eastAsia="Calibri" w:hAnsi="Arial" w:cs="Arial"/>
          <w:sz w:val="20"/>
          <w:szCs w:val="20"/>
        </w:rPr>
        <w:t>Assinatura e carimbo: ____________________________</w:t>
      </w:r>
    </w:p>
    <w:p w:rsidR="00AC10C2" w:rsidRPr="00AC10C2" w:rsidRDefault="00AC10C2" w:rsidP="00AC10C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AC10C2" w:rsidRPr="00AC10C2" w:rsidRDefault="00AC10C2" w:rsidP="00AC10C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AC10C2">
        <w:rPr>
          <w:rFonts w:ascii="Arial" w:eastAsia="Calibri" w:hAnsi="Arial" w:cs="Arial"/>
          <w:sz w:val="20"/>
          <w:szCs w:val="20"/>
        </w:rPr>
        <w:t>Responsável pelo SIM</w:t>
      </w:r>
    </w:p>
    <w:p w:rsidR="00AC10C2" w:rsidRPr="00AC10C2" w:rsidRDefault="00AC10C2" w:rsidP="00AC10C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AC10C2">
        <w:rPr>
          <w:rFonts w:ascii="Arial" w:eastAsia="Calibri" w:hAnsi="Arial" w:cs="Arial"/>
          <w:sz w:val="20"/>
          <w:szCs w:val="20"/>
        </w:rPr>
        <w:t>CRMV n °</w:t>
      </w:r>
    </w:p>
    <w:p w:rsidR="007308C0" w:rsidRDefault="004B04F6"/>
    <w:sectPr w:rsidR="007308C0" w:rsidSect="004F7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4F6" w:rsidRDefault="004B04F6" w:rsidP="00AC10C2">
      <w:pPr>
        <w:spacing w:after="0" w:line="240" w:lineRule="auto"/>
      </w:pPr>
      <w:r>
        <w:separator/>
      </w:r>
    </w:p>
  </w:endnote>
  <w:endnote w:type="continuationSeparator" w:id="0">
    <w:p w:rsidR="004B04F6" w:rsidRDefault="004B04F6" w:rsidP="00AC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4F6" w:rsidRDefault="004B04F6" w:rsidP="00AC10C2">
      <w:pPr>
        <w:spacing w:after="0" w:line="240" w:lineRule="auto"/>
      </w:pPr>
      <w:r>
        <w:separator/>
      </w:r>
    </w:p>
  </w:footnote>
  <w:footnote w:type="continuationSeparator" w:id="0">
    <w:p w:rsidR="004B04F6" w:rsidRDefault="004B04F6" w:rsidP="00AC10C2">
      <w:pPr>
        <w:spacing w:after="0" w:line="240" w:lineRule="auto"/>
      </w:pPr>
      <w:r>
        <w:continuationSeparator/>
      </w:r>
    </w:p>
  </w:footnote>
  <w:footnote w:id="1">
    <w:p w:rsidR="00AC10C2" w:rsidRDefault="00AC10C2" w:rsidP="00AC10C2">
      <w:pPr>
        <w:pStyle w:val="Textodenotaderodap"/>
      </w:pPr>
      <w:r>
        <w:rPr>
          <w:rStyle w:val="Refdenotaderodap"/>
        </w:rPr>
        <w:footnoteRef/>
      </w:r>
      <w:r>
        <w:t xml:space="preserve"> Anexo VII – Portaria 081/2020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C2"/>
    <w:rsid w:val="00451190"/>
    <w:rsid w:val="004B04F6"/>
    <w:rsid w:val="004F7348"/>
    <w:rsid w:val="00792373"/>
    <w:rsid w:val="007D3270"/>
    <w:rsid w:val="00A65CF0"/>
    <w:rsid w:val="00AC10C2"/>
    <w:rsid w:val="00BA2780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E0CC2-8C5F-4759-948A-24635E36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10C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10C2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C10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ADAPAR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Koloda</dc:creator>
  <cp:lastModifiedBy>Katia Kaori Taira</cp:lastModifiedBy>
  <cp:revision>2</cp:revision>
  <dcterms:created xsi:type="dcterms:W3CDTF">2020-09-28T19:24:00Z</dcterms:created>
  <dcterms:modified xsi:type="dcterms:W3CDTF">2020-09-28T19:24:00Z</dcterms:modified>
</cp:coreProperties>
</file>